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8A" w:rsidRPr="00E1578A" w:rsidRDefault="00E1578A" w:rsidP="00E1578A">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E1578A">
        <w:rPr>
          <w:rFonts w:ascii="Arial" w:eastAsia="Times New Roman" w:hAnsi="Arial" w:cs="Arial"/>
          <w:color w:val="111111"/>
          <w:kern w:val="36"/>
          <w:sz w:val="30"/>
          <w:szCs w:val="30"/>
          <w:lang w:eastAsia="tr-TR"/>
        </w:rPr>
        <w:t>5520 SAYILI KURUMLAR VERGİSİ KANUNUNDA YER ALAN VERGİSEL TEŞVİKLER</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bookmarkStart w:id="0" w:name="_GoBack"/>
      <w:r w:rsidRPr="004840EC">
        <w:rPr>
          <w:rFonts w:ascii="Times New Roman" w:eastAsia="Times New Roman" w:hAnsi="Times New Roman" w:cs="Times New Roman"/>
          <w:b/>
          <w:bCs/>
          <w:color w:val="6F6F6F"/>
          <w:sz w:val="28"/>
          <w:szCs w:val="28"/>
          <w:lang w:eastAsia="tr-TR"/>
        </w:rPr>
        <w:t>1) Eğitim ve Öğretim İşletmelerinde Kazanç İstisnası</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Kurumlar Vergisi Kanununun 5/1-ı maddesine göre, özel okulların işletilmesinden elde edilen kazançlar, 5 vergilendirme dönemi kurumlar vergisinden istisnadır. İstisna, mükelleflerin 625 sayılı Kanun kapsamında işletilen okul öncesi eğitim, ilköğretim, özel eğitim ve orta öğretim özel okullarından elde ettikleri kazançlara uygulanacaktır.</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İstisnadan yararlanmak isteyenlerin, faaliyete geçmelerini müteakiben Bakanlığımıza yazılı olarak başvurmaları gerekmektedir.</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625 sayılı Kanun hükümlerine tabi özel okullar tarafından ilgili dönem kapasitelerinin %10’unu geçmemek üzere verilen bedelsiz eğitim ve öğretim hizmetleri katma değer vergisinden istisnadır. (</w:t>
      </w:r>
      <w:hyperlink r:id="rId6" w:tgtFrame="_blank" w:history="1">
        <w:r w:rsidRPr="004840EC">
          <w:rPr>
            <w:rFonts w:ascii="Times New Roman" w:eastAsia="Times New Roman" w:hAnsi="Times New Roman" w:cs="Times New Roman"/>
            <w:b/>
            <w:bCs/>
            <w:color w:val="5C6F83"/>
            <w:sz w:val="28"/>
            <w:szCs w:val="28"/>
            <w:lang w:eastAsia="tr-TR"/>
          </w:rPr>
          <w:t>KDVK md.17/2-b</w:t>
        </w:r>
      </w:hyperlink>
      <w:r w:rsidRPr="004840EC">
        <w:rPr>
          <w:rFonts w:ascii="Times New Roman" w:eastAsia="Times New Roman" w:hAnsi="Times New Roman" w:cs="Times New Roman"/>
          <w:color w:val="6F6F6F"/>
          <w:sz w:val="28"/>
          <w:szCs w:val="28"/>
          <w:lang w:eastAsia="tr-TR"/>
        </w:rPr>
        <w:t>)</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Ayrıca, Bakanlar Kurulunca vergi muafiyeti tanınan vakıflara veya kamu yararına çalışan derneklere bağlı rehabilitasyon merkezlerinin işletilmesinden elde edilen kazançlar da 5 vergilendirme dönemi kurumlar vergisinden istisna edilmiştir.</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b/>
          <w:bCs/>
          <w:color w:val="6F6F6F"/>
          <w:sz w:val="28"/>
          <w:szCs w:val="28"/>
          <w:lang w:eastAsia="tr-TR"/>
        </w:rPr>
        <w:t>2) Ar-Ge İndirimi</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Kurumlar Vergisi Kanununun 10/1-a maddesine göre, işletme bünyesinde gerçekleştirilen ve münhasıran yeni teknoloji ve bilgi arayışına yönelik araştırma ve geliştirme harcamaları tutarının %100’ü, beyanname ile bildirilen kurum kazancından indirilebilecektir.</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b/>
          <w:bCs/>
          <w:color w:val="6F6F6F"/>
          <w:sz w:val="28"/>
          <w:szCs w:val="28"/>
          <w:lang w:eastAsia="tr-TR"/>
        </w:rPr>
        <w:t>3) Yatırım İndirimi İstisnası</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5479 sayılı Kanunla 01/01/2006 tarihinden itibaren geçerli olmak üzere, Gelir Vergisi Kanununun “Ticari ve Zirai Kazançlarda Yatırım İndirimi İstisnası” başlıklı 19. maddesi yürürlükten kaldırılmış olup, geçiş dönemi uygulamaları bu Kanuna eklenen Geçici 69. madde ile düzenlenmiştir. Buna göre;</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 Önceki yıllarda kazancın yetersiz olması nedeniyle 01/01/2006 tarihinden önce indirilemeyen istisna tutarları,</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 xml:space="preserve">• GVK’nın 4842 sayılı Kanunla kaldırılmadan önceki Ek 1.–6. maddeleri çerçevesinde başlanılan yatırımlarda, 24/04/2003 tarihinden önce yapılan </w:t>
      </w:r>
      <w:r w:rsidRPr="004840EC">
        <w:rPr>
          <w:rFonts w:ascii="Times New Roman" w:eastAsia="Times New Roman" w:hAnsi="Times New Roman" w:cs="Times New Roman"/>
          <w:color w:val="6F6F6F"/>
          <w:sz w:val="28"/>
          <w:szCs w:val="28"/>
          <w:lang w:eastAsia="tr-TR"/>
        </w:rPr>
        <w:lastRenderedPageBreak/>
        <w:t>müracaatlara istinaden düzenlenen teşvik belgeleri kapsamında 01/01/2006 tarihinden sonra yapılacak yatırım harcamaları dolayısıyla hesaplanacak istisna tutarları,</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 GVK’nın 19. maddesi kapsamında 01/01/2006 tarihinden önce başlanılan yatırımlarla iktisadi ve teknik açıdan bütünlük arz etmek şartıyla bu tarihten sonra yapılacak yatırım harcamaları dolayısıyla hesaplanacak istisna tutarları</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yatırım indirimi istisnası olarak indirim konusu yapılabilecektir.</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b/>
          <w:bCs/>
          <w:color w:val="6F6F6F"/>
          <w:sz w:val="28"/>
          <w:szCs w:val="28"/>
          <w:lang w:eastAsia="tr-TR"/>
        </w:rPr>
        <w:t>4) Kurumlar Vergisi Kanununun 32/A Maddesinde Yer Alan İndirimli Kurumlar Vergisi Uygulaması</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Kurumlar Vergisi Kanununa 32/A maddesi olarak 5838 sayılı Kanunla eklenen indirimli kurumlar vergisi müessesesinin amacı, kalkınma planları ve yıllık programlarda öngörülen hedeflere uygun olarak, tasarrufları katma değeri yüksek yatırımlara yönlendirmek, üretimi ve istihdamı artırmak, uluslararası rekabet gücünü artıracak büyük ölçekli yatırımları özendirmek, doğrudan yabancı yatırımları artırmak, bölgesel gelişmişlik farklılıklarını gidermek, araştırma ve geliştirme faaliyetlerini desteklemektir.</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İndirimli kurumlar vergisi müessesesi ile Ekonomi Bakanlığı tarafından teşvik belgesine bağlanan yatırımlar dolayısıyla elde edilen kazançların düşük oranda vergilendirilmesi öngörülmektedir. 15/06/2012 tarih ve 2012/3305 sayılı “Yatırımlarda Devlet Yardımları Hakkında Karar”a göre, bölgesel ve büyük ölçekli yatırımlara, Kararda belirtilen indirimli kurumlar vergisi oranları uygulanmaktadır. Karara göre;</w:t>
      </w:r>
    </w:p>
    <w:p w:rsidR="00E1578A" w:rsidRPr="004840EC" w:rsidRDefault="00E1578A" w:rsidP="004840EC">
      <w:pPr>
        <w:numPr>
          <w:ilvl w:val="0"/>
          <w:numId w:val="1"/>
        </w:numPr>
        <w:spacing w:before="100" w:beforeAutospacing="1" w:after="100" w:afterAutospacing="1" w:line="300" w:lineRule="atLeast"/>
        <w:ind w:left="825"/>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İndirilen kurumlar vergisi veya gelir vergisi tutarı yatırıma katkı tutarına ulaşıncaya kadar indirimli vergi uygulamasına devam edilir.</w:t>
      </w:r>
    </w:p>
    <w:p w:rsidR="00E1578A" w:rsidRPr="004840EC" w:rsidRDefault="00E1578A" w:rsidP="004840EC">
      <w:pPr>
        <w:numPr>
          <w:ilvl w:val="0"/>
          <w:numId w:val="1"/>
        </w:numPr>
        <w:spacing w:before="100" w:beforeAutospacing="1" w:after="100" w:afterAutospacing="1" w:line="300" w:lineRule="atLeast"/>
        <w:ind w:left="825"/>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color w:val="6F6F6F"/>
          <w:sz w:val="28"/>
          <w:szCs w:val="28"/>
          <w:lang w:eastAsia="tr-TR"/>
        </w:rPr>
        <w:t>Yatırımın kısmen veya tamamen faaliyete geçmesinden sonra devri halinde indirimli vergi oranından devir tarihine kadar devreden, devir tarihinden sonra ise devralan, aynı koşulları yerine getirmek kaydıyla yatırıma katkı tutarının kalan kısmı için yararlanır.</w:t>
      </w:r>
    </w:p>
    <w:p w:rsidR="00E1578A" w:rsidRPr="004840EC" w:rsidRDefault="00E1578A" w:rsidP="004840EC">
      <w:pPr>
        <w:spacing w:after="300" w:line="255" w:lineRule="atLeast"/>
        <w:jc w:val="both"/>
        <w:rPr>
          <w:rFonts w:ascii="Times New Roman" w:eastAsia="Times New Roman" w:hAnsi="Times New Roman" w:cs="Times New Roman"/>
          <w:color w:val="6F6F6F"/>
          <w:sz w:val="28"/>
          <w:szCs w:val="28"/>
          <w:lang w:eastAsia="tr-TR"/>
        </w:rPr>
      </w:pPr>
      <w:r w:rsidRPr="004840EC">
        <w:rPr>
          <w:rFonts w:ascii="Times New Roman" w:eastAsia="Times New Roman" w:hAnsi="Times New Roman" w:cs="Times New Roman"/>
          <w:b/>
          <w:bCs/>
          <w:color w:val="6F6F6F"/>
          <w:sz w:val="28"/>
          <w:szCs w:val="28"/>
          <w:lang w:eastAsia="tr-TR"/>
        </w:rPr>
        <w:t>5) Kurumlar Vergisi Kanununun Geçici 4. Maddesinde Yer Alan Teşvik Uygulaması</w:t>
      </w:r>
    </w:p>
    <w:p w:rsidR="00E1578A" w:rsidRPr="004840EC" w:rsidRDefault="00E1578A" w:rsidP="004840EC">
      <w:pPr>
        <w:spacing w:after="300" w:line="240" w:lineRule="auto"/>
        <w:jc w:val="both"/>
        <w:rPr>
          <w:rFonts w:ascii="Times New Roman" w:eastAsia="Times New Roman" w:hAnsi="Times New Roman" w:cs="Times New Roman"/>
          <w:sz w:val="28"/>
          <w:szCs w:val="28"/>
          <w:lang w:eastAsia="tr-TR"/>
        </w:rPr>
      </w:pPr>
      <w:r w:rsidRPr="004840EC">
        <w:rPr>
          <w:rFonts w:ascii="Times New Roman" w:eastAsia="Times New Roman" w:hAnsi="Times New Roman" w:cs="Times New Roman"/>
          <w:color w:val="6F6F6F"/>
          <w:sz w:val="28"/>
          <w:szCs w:val="28"/>
          <w:lang w:eastAsia="tr-TR"/>
        </w:rPr>
        <w:t xml:space="preserve">Kurumlar Vergisi Kanununa 5838 sayılı Kanunla eklenen geçici 4. maddeye göre; münhasıran tekstil, konfeksiyon ve hazır giyim, deri ve deri mamulleri sektörlerinde faaliyette bulunanlardan üretim tesislerini Bakanlar Kurulunca belirlenen illere 31/12/2010 tarihine kadar nakleden ve asgari 50 kişilik istihdam sağlayan mükelleflerin, bu illerdeki işletmelerinden sağladıkları kazançlar için nakil tarihini izleyen hesap döneminden itibaren beş yıl süreyle kurumlar vergisi </w:t>
      </w:r>
      <w:r w:rsidRPr="004840EC">
        <w:rPr>
          <w:rFonts w:ascii="Times New Roman" w:eastAsia="Times New Roman" w:hAnsi="Times New Roman" w:cs="Times New Roman"/>
          <w:color w:val="6F6F6F"/>
          <w:sz w:val="28"/>
          <w:szCs w:val="28"/>
          <w:lang w:eastAsia="tr-TR"/>
        </w:rPr>
        <w:lastRenderedPageBreak/>
        <w:t>oranı % 75 indirimli olarak uygulanır. Bu teşvikten gelir vergisi mükellefleri de yararlanır.</w:t>
      </w:r>
    </w:p>
    <w:bookmarkEnd w:id="0"/>
    <w:p w:rsidR="006B2B79" w:rsidRPr="004840EC" w:rsidRDefault="006B2B79" w:rsidP="004840EC">
      <w:pPr>
        <w:jc w:val="both"/>
        <w:rPr>
          <w:rFonts w:ascii="Times New Roman" w:hAnsi="Times New Roman" w:cs="Times New Roman"/>
          <w:sz w:val="28"/>
          <w:szCs w:val="28"/>
        </w:rPr>
      </w:pPr>
    </w:p>
    <w:sectPr w:rsidR="006B2B79" w:rsidRPr="00484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07316"/>
    <w:multiLevelType w:val="multilevel"/>
    <w:tmpl w:val="B58C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8A"/>
    <w:rsid w:val="004840EC"/>
    <w:rsid w:val="006B2B79"/>
    <w:rsid w:val="00E15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1422">
      <w:bodyDiv w:val="1"/>
      <w:marLeft w:val="0"/>
      <w:marRight w:val="0"/>
      <w:marTop w:val="0"/>
      <w:marBottom w:val="0"/>
      <w:divBdr>
        <w:top w:val="none" w:sz="0" w:space="0" w:color="auto"/>
        <w:left w:val="none" w:sz="0" w:space="0" w:color="auto"/>
        <w:bottom w:val="none" w:sz="0" w:space="0" w:color="auto"/>
        <w:right w:val="none" w:sz="0" w:space="0" w:color="auto"/>
      </w:divBdr>
      <w:divsChild>
        <w:div w:id="585111411">
          <w:marLeft w:val="0"/>
          <w:marRight w:val="0"/>
          <w:marTop w:val="0"/>
          <w:marBottom w:val="0"/>
          <w:divBdr>
            <w:top w:val="none" w:sz="0" w:space="0" w:color="auto"/>
            <w:left w:val="none" w:sz="0" w:space="0" w:color="auto"/>
            <w:bottom w:val="none" w:sz="0" w:space="0" w:color="auto"/>
            <w:right w:val="none" w:sz="0" w:space="0" w:color="auto"/>
          </w:divBdr>
          <w:divsChild>
            <w:div w:id="2112123789">
              <w:marLeft w:val="450"/>
              <w:marRight w:val="0"/>
              <w:marTop w:val="0"/>
              <w:marBottom w:val="0"/>
              <w:divBdr>
                <w:top w:val="none" w:sz="0" w:space="0" w:color="auto"/>
                <w:left w:val="none" w:sz="0" w:space="0" w:color="auto"/>
                <w:bottom w:val="none" w:sz="0" w:space="0" w:color="auto"/>
                <w:right w:val="none" w:sz="0" w:space="0" w:color="auto"/>
              </w:divBdr>
              <w:divsChild>
                <w:div w:id="878781089">
                  <w:marLeft w:val="0"/>
                  <w:marRight w:val="0"/>
                  <w:marTop w:val="0"/>
                  <w:marBottom w:val="0"/>
                  <w:divBdr>
                    <w:top w:val="none" w:sz="0" w:space="0" w:color="auto"/>
                    <w:left w:val="none" w:sz="0" w:space="0" w:color="auto"/>
                    <w:bottom w:val="none" w:sz="0" w:space="0" w:color="auto"/>
                    <w:right w:val="none" w:sz="0" w:space="0" w:color="auto"/>
                  </w:divBdr>
                  <w:divsChild>
                    <w:div w:id="1396006066">
                      <w:marLeft w:val="0"/>
                      <w:marRight w:val="0"/>
                      <w:marTop w:val="0"/>
                      <w:marBottom w:val="0"/>
                      <w:divBdr>
                        <w:top w:val="none" w:sz="0" w:space="0" w:color="auto"/>
                        <w:left w:val="none" w:sz="0" w:space="0" w:color="auto"/>
                        <w:bottom w:val="none" w:sz="0" w:space="0" w:color="auto"/>
                        <w:right w:val="none" w:sz="0" w:space="0" w:color="auto"/>
                      </w:divBdr>
                      <w:divsChild>
                        <w:div w:id="982193422">
                          <w:marLeft w:val="0"/>
                          <w:marRight w:val="0"/>
                          <w:marTop w:val="0"/>
                          <w:marBottom w:val="0"/>
                          <w:divBdr>
                            <w:top w:val="none" w:sz="0" w:space="0" w:color="auto"/>
                            <w:left w:val="none" w:sz="0" w:space="0" w:color="auto"/>
                            <w:bottom w:val="none" w:sz="0" w:space="0" w:color="auto"/>
                            <w:right w:val="none" w:sz="0" w:space="0" w:color="auto"/>
                          </w:divBdr>
                          <w:divsChild>
                            <w:div w:id="134837181">
                              <w:marLeft w:val="0"/>
                              <w:marRight w:val="0"/>
                              <w:marTop w:val="0"/>
                              <w:marBottom w:val="0"/>
                              <w:divBdr>
                                <w:top w:val="none" w:sz="0" w:space="0" w:color="auto"/>
                                <w:left w:val="none" w:sz="0" w:space="0" w:color="auto"/>
                                <w:bottom w:val="none" w:sz="0" w:space="0" w:color="auto"/>
                                <w:right w:val="none" w:sz="0" w:space="0" w:color="auto"/>
                              </w:divBdr>
                              <w:divsChild>
                                <w:div w:id="4867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8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b.gov.tr/kanun-madde-goruntule?tid=85940&amp;sk=803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2018-09-06T11:18:00Z</dcterms:created>
  <dcterms:modified xsi:type="dcterms:W3CDTF">2018-09-06T11:53:00Z</dcterms:modified>
</cp:coreProperties>
</file>