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75" w:rsidRPr="007C6F75" w:rsidRDefault="007C6F75" w:rsidP="007C6F75">
      <w:pPr>
        <w:spacing w:line="643" w:lineRule="atLeast"/>
        <w:jc w:val="both"/>
        <w:outlineLvl w:val="0"/>
        <w:rPr>
          <w:rFonts w:ascii="DINProBold" w:eastAsia="Times New Roman" w:hAnsi="DINProBold" w:cs="Times New Roman"/>
          <w:b/>
          <w:bCs/>
          <w:kern w:val="36"/>
          <w:sz w:val="61"/>
          <w:szCs w:val="61"/>
          <w:lang w:eastAsia="tr-TR"/>
        </w:rPr>
      </w:pPr>
      <w:r w:rsidRPr="007C6F75">
        <w:rPr>
          <w:rFonts w:ascii="DINProBold" w:eastAsia="Times New Roman" w:hAnsi="DINProBold" w:cs="Times New Roman"/>
          <w:b/>
          <w:bCs/>
          <w:kern w:val="36"/>
          <w:sz w:val="61"/>
          <w:szCs w:val="61"/>
          <w:lang w:eastAsia="tr-TR"/>
        </w:rPr>
        <w:t>Vatandaşlık</w:t>
      </w:r>
    </w:p>
    <w:p w:rsidR="007C6F75" w:rsidRPr="007C6F75" w:rsidRDefault="007C6F75" w:rsidP="007C6F75">
      <w:pPr>
        <w:spacing w:before="306" w:after="153" w:line="240" w:lineRule="auto"/>
        <w:jc w:val="both"/>
        <w:outlineLvl w:val="2"/>
        <w:rPr>
          <w:rFonts w:ascii="inherit" w:eastAsia="Times New Roman" w:hAnsi="inherit" w:cs="Times New Roman"/>
          <w:color w:val="FF0000"/>
          <w:sz w:val="28"/>
          <w:szCs w:val="28"/>
          <w:lang w:eastAsia="tr-TR"/>
        </w:rPr>
      </w:pPr>
      <w:r w:rsidRPr="007C6F75">
        <w:rPr>
          <w:rFonts w:ascii="inherit" w:eastAsia="Times New Roman" w:hAnsi="inherit" w:cs="Times New Roman"/>
          <w:color w:val="FF0000"/>
          <w:sz w:val="28"/>
          <w:szCs w:val="28"/>
          <w:lang w:eastAsia="tr-TR"/>
        </w:rPr>
        <w:t>Vatandaşlığa İlişkin Genel Prensipler</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Her devlet hangi kişilerin ya da ülke vatandaşlarının kendi vatandaşı olabileceğine kanunlar çerçevesinde karar verme hakkına sahiptir.</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Kişiler vatansız bırakılamaz. Vatandaşlıktan çıkarılacak kişinin vatansız kalma durumu vatandaşlıktan çıkarmaya engeldir.</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Kişi kazanmış olduğu vatandaşlıktan keyfi olarak çıkartılamaz.</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xml:space="preserve">Vatandaşlık kişiye zorla yükletilemez ve kişinin vatandaşlıktan çıkma talebi </w:t>
      </w:r>
      <w:proofErr w:type="spellStart"/>
      <w:r w:rsidRPr="007C6F75">
        <w:rPr>
          <w:rFonts w:ascii="DINProRegular" w:eastAsia="Times New Roman" w:hAnsi="DINProRegular" w:cs="Times New Roman"/>
          <w:color w:val="505050"/>
          <w:sz w:val="28"/>
          <w:szCs w:val="28"/>
          <w:lang w:eastAsia="tr-TR"/>
        </w:rPr>
        <w:t>devlettarafından</w:t>
      </w:r>
      <w:proofErr w:type="spellEnd"/>
      <w:r w:rsidRPr="007C6F75">
        <w:rPr>
          <w:rFonts w:ascii="DINProRegular" w:eastAsia="Times New Roman" w:hAnsi="DINProRegular" w:cs="Times New Roman"/>
          <w:color w:val="505050"/>
          <w:sz w:val="28"/>
          <w:szCs w:val="28"/>
          <w:lang w:eastAsia="tr-TR"/>
        </w:rPr>
        <w:t xml:space="preserve"> keyfi olarak engellenemez.</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Vatandaşın ülkeye girmesi engellenemez ve vatandaş her hangi bir sebepten dolayı sınır dışı edilemez.</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Çifte vatandaşlık veya çok vatandaşlık durumunda, kişi vatandaşı olduğu ülkeye karşı diğer ülkenin vatandaşlığını öne süremez.</w:t>
      </w:r>
    </w:p>
    <w:p w:rsidR="007C6F75" w:rsidRPr="007C6F75" w:rsidRDefault="007C6F75" w:rsidP="007C6F75">
      <w:pPr>
        <w:numPr>
          <w:ilvl w:val="0"/>
          <w:numId w:val="1"/>
        </w:numPr>
        <w:spacing w:after="77" w:line="383" w:lineRule="atLeast"/>
        <w:ind w:left="0"/>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Vatandaş başka bir ülkeye iade edilemez.</w:t>
      </w:r>
    </w:p>
    <w:p w:rsidR="007C6F75" w:rsidRPr="007C6F75" w:rsidRDefault="007C6F75" w:rsidP="007C6F75">
      <w:pPr>
        <w:spacing w:before="306" w:after="153" w:line="240" w:lineRule="auto"/>
        <w:jc w:val="both"/>
        <w:outlineLvl w:val="2"/>
        <w:rPr>
          <w:rFonts w:ascii="inherit" w:eastAsia="Times New Roman" w:hAnsi="inherit" w:cs="Times New Roman"/>
          <w:color w:val="FF0000"/>
          <w:sz w:val="28"/>
          <w:szCs w:val="28"/>
          <w:lang w:eastAsia="tr-TR"/>
        </w:rPr>
      </w:pPr>
      <w:r w:rsidRPr="007C6F75">
        <w:rPr>
          <w:rFonts w:ascii="inherit" w:eastAsia="Times New Roman" w:hAnsi="inherit" w:cs="Times New Roman"/>
          <w:color w:val="FF0000"/>
          <w:sz w:val="28"/>
          <w:szCs w:val="28"/>
          <w:lang w:eastAsia="tr-TR"/>
        </w:rPr>
        <w:t>Türk Vatandaşlığını Kazanma Yolları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 vatandaşlığının kazanılması genel olarak doğumla veya sonradan kazanma olmak üzere iki şekilde olur.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1.VATANDAŞLIĞIN DOĞUMLA KAZANILMASI</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Doğumla kazanılan Türk vatandaşlığı, doğum anında kazanılan vatandaşlık olup, yapılan bildirim üzerine doğum anından itibaren hüküm ifade eder.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Doğumla Türk vatandaşlığının kazanılması soy bağı veya doğum yeri esasına göre olur.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1.1. Türk Vatandaşlığının Soy Bağı İle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Soy bağı ile kazanılan vatandaşlık, çocuğun doğumu anında soy bağı ile bağlı bulunduğu Türk vatandaşı ana veya babanın vatandaşlığını kazanmasını ifade eder.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Çocuğun Türk vatandaşlığını soy bağı yolu ile kazanmasında çocuğun doğumu anında ana veya babadan yalnız birinin Türk vatandaşı olması yeterlidir. Ana ve babadan birinin yabancı bir devlet vatandaşı olması ya da çocuğun Türkiye dışında bir ülkede doğmuş olması Türk vatandaşlığının kazanılmasına engel değildir.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Evlilik dışında doğan çocuklar: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Ana Türk vatandaşı ise doğum anından itibaren,</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Baba Türk vatandaşı ise babalığın tanınması ya da mahkemede babalık kararının verilmesi ile Türk vatandaşı olurlar.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1.2. Türk Vatandaşlığının Doğum Yeri Esasına Göre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Türkiye’de doğan ve aşağıdaki sebeplerden dolayı başka ülke vatandaşlığını kazanamayan çocuklar doğumlarından itibaren Türk vatandaşlığını kazanırlar.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Bu sebepler, çocuğun ana ve babasının belli olmaması, vatansız olması ve milli kanunları gereğince vatandaşlık kazanamamasıdır.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Türkiye’de bulunmuş çocuk, aksi ispat edilmedikçe Türkiye’de doğmuş sayılır. Yaşının küçüklüğü nedeniyle kendisini ifade edemeyen bulunmuş çocuklar yetkililerce bulundukları yerin nüfus kütüklerine tescil edilir.</w:t>
      </w:r>
    </w:p>
    <w:p w:rsidR="007C6F75" w:rsidRPr="007C6F75" w:rsidRDefault="007C6F75" w:rsidP="007C6F75">
      <w:pPr>
        <w:spacing w:before="306" w:after="153" w:line="240" w:lineRule="auto"/>
        <w:jc w:val="both"/>
        <w:outlineLvl w:val="2"/>
        <w:rPr>
          <w:rFonts w:ascii="inherit" w:eastAsia="Times New Roman" w:hAnsi="inherit" w:cs="Times New Roman"/>
          <w:color w:val="FF0000"/>
          <w:sz w:val="28"/>
          <w:szCs w:val="28"/>
          <w:lang w:eastAsia="tr-TR"/>
        </w:rPr>
      </w:pPr>
      <w:r w:rsidRPr="007C6F75">
        <w:rPr>
          <w:rFonts w:ascii="inherit" w:eastAsia="Times New Roman" w:hAnsi="inherit" w:cs="Times New Roman"/>
          <w:color w:val="FF0000"/>
          <w:sz w:val="28"/>
          <w:szCs w:val="28"/>
          <w:lang w:eastAsia="tr-TR"/>
        </w:rPr>
        <w:t>Türk Vatandaşlığını Sonradan Kazanma Yolları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 vatandaşlığının sonradan kazanılması yetkili makam kararı, evlat edinilme ya da seçme hakkının kullanılması yolları ile olur.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2.1. Türk Vatandaşlığının Yetkili Makam Kararı İle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Yetkili makam kararı ile Türk vatandaşlığının kazanılması aşağıdaki yollarla olur: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 vatandaşlığının genel yolla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 Türk vatandaşlığının istisnai olarak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 vatandaşlığının yeniden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 vatandaşlığının evlenme yoluyla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2.1.1. Türk Vatandaşlığının Genel Yolla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Yabancıların Türk vatandaşlığına kabul edilmesinde genel yol, şartlarını yerine getiren yabancının başvuru yoluyla vatandaşlığı talep etmesi ve devletin bu talebi kabul etmesi ile kazanılan vatandaşlıktır.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 vatandaşlığına geçmek isteyen bir yabancı, gerekli şartları taşıması halinde yetkili makam kararı ile Türk vatandaşlığını kazanabilir.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Yabancıların Türk vatandaşlığını kazanabilmeleri için:</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Kendi millî kanununa, vatansız ise Türk kanunlarına göre reşit ve ayırt etme gücüne sahip olmaları,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Başvuru tarihinden geriye doğru kesintisiz Türkiye’de beş yıl ikamet etmeleri, </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Türkiye’de yerleşmeye karar verdiğini davranışları ile göstermeleri,</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Genel sağlık bakımından tehlike oluşturan bir hastalıklarının bulunmaması,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İyi ahlak sahibi olmaları,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Yeteri kadar Türkçe konuşabilmeleri,</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Türkiye’de kendisinin ve bakmakla yükümlü olduğu kimselerin geçimini sağlayacak gelire veya mesleğe sahip olmaları,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Millî güvenlik ve kamu düzeni bakımından engel teşkil edecek bir hallerinin bulunmaması gerekmektedir.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Vatandaşlığa başvuran kişinin Türkiye’de yerleşmeye karar verdiğini gösteren davranışlar: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Türkiye’de taşınmaz mal satın almak, yatırım yapmak, Türkiye’de iş kurmak ya da bir iş yerinde çalışmak, bir Türk vatandaşı ile evlenmek, Türk vatandaşlığını kazanmak üzere ailece başvurmak gibi Türkiye’de yerleşme niyetini ortaya koyan somut davranışlardır. Bu bağlamda öğrenim, turistik ya da geçici iş seyahatleri ve tedavi gibi geçici amaçlarla Türkiye’de ikamet eden kişilerin vatandaşlık başvurusu kabul edilmez.</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Vatandaşlığa başvuran kişinin iyi ahlak sahibi olduğunun tespiti:</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Kişinin kaçakçılık, dolandırıcılık, hırsızlık gibi toplumsal düzeni bozucu suçlardan ceza alıp almadığı ya da Türk örf ve adetleri ile aile yaşamına aykırı şekilde uyuşturucu kullanma ve fuhuş yapma gibi davranışlarının bulunup bulunmadığına göre kişinin iyi ahlak sahibi olup olmadığı tespit edilir. Aynı şekilde herhangi bir suçtan dolayı yargılanmak, mahkûm olmak ya da tutuklu bulunmak vatandaşlık başvurusunun reddedilmesi sebebidir.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Millî güvenlik ve kamu düzeni bakımından engel teşkil edecek bir hâli bulunmamak şartı, uygulamada Millî İstihbarat Teşkilatı ve Emniyet Genel Müdürlüğünce yapılacak sicil araştırması ile tespit edilmektedir. Kişinin milli güvenlik ve kamu düzeni bakımından engel teşkil edecek bir halinin bulunmadığının tespiti bu şartın arandığı bütün vatandaşlık başvuru çeşitleri için bu şekilde gerçekleşmektedir.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 vatandaşlığını kazanmak isteyen yabancılarda, yukarıda sayılan şartlarla birlikte, taşıdıkları devlet vatandaşlığından çıkma şartı da aranabilir. Bu takdirin kullanılmasına ilişkin esasların tespiti Bakanlar Kurulunun yetkisindedir.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 vatandaşlığının kazanılmasında başvurular yurt içinde yerleşim yerinin bulunduğu valiliğe, yurt dışında ise dış temsilciliklere bizzat veya bu hakkın kullanılmasına ilişkin özel vekâletname ile yapılır.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Aranan şartları taşımak vatandaşlığın kazanılmasında kişiye mutlak bir hak sağlamaz.</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2.1.2. Türk Vatandaşlığının İstisnai Olarak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Belirli özelliklere sahip yabancılara, vatandaşlığa alınmada aranan genel şartlara sahip olmasalar da Türk vatandaşlığına istisnai yollarla alınma imkânı tanınmıştır.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İstisnai vatandaşlık yolu ile Türk vatandaşlığını kazanabilecek yabancılar: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Türkiye’de sanayi tesisi kuran veya bilimsel, teknolojik, ekonomik, sosyal, sportif, kültürel ve sanatsal alanlarda olağanüstü hizmeti geçen ya da geçeceği düşünülen ve ilgili Bakanlıklarca haklarında gerekçeli teklifte bulunulanlar.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Uluslararası ilişkilerin gerekliliği ve ülkemizin menfaati veya herhangi bir sebeple Bakanlar Kurulunca Türk vatandaşlığını kazanmaları zaruri görülenler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xml:space="preserve">• </w:t>
      </w:r>
      <w:proofErr w:type="gramStart"/>
      <w:r w:rsidRPr="007C6F75">
        <w:rPr>
          <w:rFonts w:ascii="DINProRegular" w:eastAsia="Times New Roman" w:hAnsi="DINProRegular" w:cs="Times New Roman"/>
          <w:color w:val="505050"/>
          <w:sz w:val="28"/>
          <w:szCs w:val="28"/>
          <w:lang w:eastAsia="tr-TR"/>
        </w:rPr>
        <w:t>İskan</w:t>
      </w:r>
      <w:proofErr w:type="gramEnd"/>
      <w:r w:rsidRPr="007C6F75">
        <w:rPr>
          <w:rFonts w:ascii="DINProRegular" w:eastAsia="Times New Roman" w:hAnsi="DINProRegular" w:cs="Times New Roman"/>
          <w:color w:val="505050"/>
          <w:sz w:val="28"/>
          <w:szCs w:val="28"/>
          <w:lang w:eastAsia="tr-TR"/>
        </w:rPr>
        <w:t xml:space="preserve"> Kanununa göre göçmen olarak kabul edilenler.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proofErr w:type="gramStart"/>
      <w:r w:rsidRPr="007C6F75">
        <w:rPr>
          <w:rFonts w:ascii="DINProRegular" w:eastAsia="Times New Roman" w:hAnsi="DINProRegular" w:cs="Times New Roman"/>
          <w:color w:val="505050"/>
          <w:sz w:val="28"/>
          <w:szCs w:val="28"/>
          <w:lang w:eastAsia="tr-TR"/>
        </w:rPr>
        <w:t>İskan</w:t>
      </w:r>
      <w:proofErr w:type="gramEnd"/>
      <w:r w:rsidRPr="007C6F75">
        <w:rPr>
          <w:rFonts w:ascii="DINProRegular" w:eastAsia="Times New Roman" w:hAnsi="DINProRegular" w:cs="Times New Roman"/>
          <w:color w:val="505050"/>
          <w:sz w:val="28"/>
          <w:szCs w:val="28"/>
          <w:lang w:eastAsia="tr-TR"/>
        </w:rPr>
        <w:t xml:space="preserve"> Kanununa göre göçmen, Türk soyundan olanlar ve Türk kültürüne bağlı olup yerleşmek amacıyla tek başına veya toplu halde Türkiye’ye gelip İskân Kanunu uyarınca göçmen olarak kabul edilen kişiyi ifade eder. Kimlerin Türk soylu ve Türk kültürüne ait olduğuna Bakanlar Kurulu karar verir. Balkan göçmenleri buna göre Türk vatandaşlığına kabul edilmiştir.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İstisnai vatandaşlık başvurusunda bulunan kişilerin milli güvenlik ve kamu düzeni bakımından engel teşkil edecek bir halinin bulunmaması gerekir.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İstisnai vatandaşlık, diğer şartlara bakılmaksızın İçişleri Bakanlığının teklifi ve Bakanlar Kurulu kararı ile verilir.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2.1.3. Türk Vatandaşlığının Yeniden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Herhangi bir nedenle</w:t>
      </w:r>
      <w:r>
        <w:rPr>
          <w:rFonts w:ascii="DINProRegular" w:eastAsia="Times New Roman" w:hAnsi="DINProRegular" w:cs="Times New Roman"/>
          <w:color w:val="505050"/>
          <w:sz w:val="28"/>
          <w:szCs w:val="28"/>
          <w:lang w:eastAsia="tr-TR"/>
        </w:rPr>
        <w:t xml:space="preserve"> </w:t>
      </w:r>
      <w:r w:rsidRPr="007C6F75">
        <w:rPr>
          <w:rFonts w:ascii="DINProRegular" w:eastAsia="Times New Roman" w:hAnsi="DINProRegular" w:cs="Times New Roman"/>
          <w:color w:val="505050"/>
          <w:sz w:val="28"/>
          <w:szCs w:val="28"/>
          <w:lang w:eastAsia="tr-TR"/>
        </w:rPr>
        <w:t>Türk vatandaşlığını kaybetmiş kişilerin yeniden</w:t>
      </w:r>
      <w:r>
        <w:rPr>
          <w:rFonts w:ascii="DINProRegular" w:eastAsia="Times New Roman" w:hAnsi="DINProRegular" w:cs="Times New Roman"/>
          <w:color w:val="505050"/>
          <w:sz w:val="28"/>
          <w:szCs w:val="28"/>
          <w:lang w:eastAsia="tr-TR"/>
        </w:rPr>
        <w:t xml:space="preserve"> </w:t>
      </w:r>
      <w:r w:rsidRPr="007C6F75">
        <w:rPr>
          <w:rFonts w:ascii="DINProRegular" w:eastAsia="Times New Roman" w:hAnsi="DINProRegular" w:cs="Times New Roman"/>
          <w:color w:val="505050"/>
          <w:sz w:val="28"/>
          <w:szCs w:val="28"/>
          <w:lang w:eastAsia="tr-TR"/>
        </w:rPr>
        <w:t>Türk vatandaşlığını kazanmaları ikamet şartına bağlı olarak ya da ikamet şartına bağlı olmaksızın kazanma olmak üzere iki yolla gerçekleşir.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proofErr w:type="gramStart"/>
      <w:r w:rsidRPr="007C6F75">
        <w:rPr>
          <w:rFonts w:ascii="DINProRegular" w:eastAsia="Times New Roman" w:hAnsi="DINProRegular" w:cs="Times New Roman"/>
          <w:color w:val="505050"/>
          <w:sz w:val="28"/>
          <w:szCs w:val="28"/>
          <w:lang w:eastAsia="tr-TR"/>
        </w:rPr>
        <w:t>a</w:t>
      </w:r>
      <w:proofErr w:type="gramEnd"/>
      <w:r w:rsidRPr="007C6F75">
        <w:rPr>
          <w:rFonts w:ascii="DINProRegular" w:eastAsia="Times New Roman" w:hAnsi="DINProRegular" w:cs="Times New Roman"/>
          <w:color w:val="505050"/>
          <w:sz w:val="28"/>
          <w:szCs w:val="28"/>
          <w:lang w:eastAsia="tr-TR"/>
        </w:rPr>
        <w:t>. Türk Vatandaşlığının İkamet Şartı Aranmaksızın Yeniden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Aşağıda durumları belirtilen kişiler milli güvenlik bakımından engel teşkil edecek bir hali bulunmamak şartıyla Türkiye’de ikamet şartı aranmaksızın, Türk vatandaşlığını İçişleri Bakanlığı kararı ile yeniden kazanabilirler: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Çıkma izni almak suretiyle Türk vatandaşlığını kaybedenler,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Ana veya babalarına bağlı olarak iradeleri dışında Türk vatandaşlığını kaybeden ve ergin olmalarından itibaren üç yıl içerisinde seçme hakkını kullanmayanlar.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Yurtdışında yaşayan ve Türk vatandaşlığından usulüne göre çıkarak bulunduğu ülke vatandaşlığına geçen kişilerin yeniden Türk vatandaşlığını kazanmaları bu yolla gerçekleşmektedir.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proofErr w:type="gramStart"/>
      <w:r w:rsidRPr="007C6F75">
        <w:rPr>
          <w:rFonts w:ascii="DINProRegular" w:eastAsia="Times New Roman" w:hAnsi="DINProRegular" w:cs="Times New Roman"/>
          <w:color w:val="505050"/>
          <w:sz w:val="28"/>
          <w:szCs w:val="28"/>
          <w:lang w:eastAsia="tr-TR"/>
        </w:rPr>
        <w:t>b</w:t>
      </w:r>
      <w:proofErr w:type="gramEnd"/>
      <w:r w:rsidRPr="007C6F75">
        <w:rPr>
          <w:rFonts w:ascii="DINProRegular" w:eastAsia="Times New Roman" w:hAnsi="DINProRegular" w:cs="Times New Roman"/>
          <w:color w:val="505050"/>
          <w:sz w:val="28"/>
          <w:szCs w:val="28"/>
          <w:lang w:eastAsia="tr-TR"/>
        </w:rPr>
        <w:t>. Türk Vatandaşlığının İkamet Şartına Bağlı Olarak Yeniden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Daha önce Türk vatandaşı olup da Türk vatandaşlığı kaybettirilenler Türkiye’de üç yıl ikamet etmek şartıyla Türk vatandaşlığını kazanabilirler.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Bu kişilerin Türk vatandaşlığını kazanmalarına dair yetki Bakanlar Kurulundadır.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Aynı şekilde Türkiye’de ikamet edip de seçme hakkını kullanarak Türk vatandaşlığını kaybedenler Türkiye’de üç yıl ikamet etmek şartıyla Türk vatandaşlığını yeniden kazanabilirler.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Kaybettirme ya da seçme yoluyla Türk vatandaşlığını kaybeden kişilerin yeniden Türk vatandaşı olabilmeleri için milli güvenlik bakımından engel teşkil edecek bir hallerinin bulunmaması gerekir.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2.1.4. Türk Vatandaşlığının Evlenme Yoluyla Kazanılması</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xml:space="preserve">Bir Türk vatandaşı ile evlilik, doğrudan Türk vatandaşlığını kazandırmaz. Türk vatandaşı ile evliliğe bağlı olarak Türk vatandaşlığını talep edebilmek için, başvuran kişinin başvuru anında en az üç yıldan beri bir Türk vatandaşı ile evli olması ve evliliğinin devam ediyor olması gerekmektedir. Bu şartlar </w:t>
      </w:r>
      <w:r w:rsidRPr="007C6F75">
        <w:rPr>
          <w:rFonts w:ascii="DINProRegular" w:eastAsia="Times New Roman" w:hAnsi="DINProRegular" w:cs="Times New Roman"/>
          <w:color w:val="505050"/>
          <w:sz w:val="28"/>
          <w:szCs w:val="28"/>
          <w:lang w:eastAsia="tr-TR"/>
        </w:rPr>
        <w:lastRenderedPageBreak/>
        <w:t>sağlandığında kişi Türk vatandaşlığına “sadece” başvurma hakkını elde etmektedir.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Türk vatandaşı ile evlenen yabancı eş, yukarıda sayılan ön şartların varlığı hâlinde, evlenme yolu ile Türk vatandaşlığını kazanmak için yetkili makamlara müracaat etme hakkını elde etmiş olacaktır.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Başvuru ön şartları gerçekleştikten sonra, yabancı eşin Türk vatandaşlığını kazanabilmesi için aranan şartlar;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Aile birliği içinde yaşama,</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Evlilik birliği ile bağdaşmayacak bir faaliyette bulunmama,</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Millî güvenlik ve kamu düzeni bakımından engel teşkil edecek bir hâli bulunmama, olmak üzere üç temel şarttır.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Bu asli şartların tespiti yetkili makamlarca yapılır.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 xml:space="preserve">Uygulamada evlilik birliği ile bağdaşmayacak faaliyetlerde bulunmamanın tespitinde fuhuş yapmak, </w:t>
      </w:r>
      <w:proofErr w:type="spellStart"/>
      <w:r w:rsidRPr="007C6F75">
        <w:rPr>
          <w:rFonts w:ascii="DINProRegular" w:eastAsia="Times New Roman" w:hAnsi="DINProRegular" w:cs="Times New Roman"/>
          <w:color w:val="505050"/>
          <w:sz w:val="28"/>
          <w:szCs w:val="28"/>
          <w:lang w:eastAsia="tr-TR"/>
        </w:rPr>
        <w:t>fuhuşa</w:t>
      </w:r>
      <w:proofErr w:type="spellEnd"/>
      <w:r w:rsidRPr="007C6F75">
        <w:rPr>
          <w:rFonts w:ascii="DINProRegular" w:eastAsia="Times New Roman" w:hAnsi="DINProRegular" w:cs="Times New Roman"/>
          <w:color w:val="505050"/>
          <w:sz w:val="28"/>
          <w:szCs w:val="28"/>
          <w:lang w:eastAsia="tr-TR"/>
        </w:rPr>
        <w:t xml:space="preserve"> aracılık yapmak gibi </w:t>
      </w:r>
      <w:proofErr w:type="gramStart"/>
      <w:r w:rsidRPr="007C6F75">
        <w:rPr>
          <w:rFonts w:ascii="DINProRegular" w:eastAsia="Times New Roman" w:hAnsi="DINProRegular" w:cs="Times New Roman"/>
          <w:color w:val="505050"/>
          <w:sz w:val="28"/>
          <w:szCs w:val="28"/>
          <w:lang w:eastAsia="tr-TR"/>
        </w:rPr>
        <w:t>kriterler</w:t>
      </w:r>
      <w:proofErr w:type="gramEnd"/>
      <w:r w:rsidRPr="007C6F75">
        <w:rPr>
          <w:rFonts w:ascii="DINProRegular" w:eastAsia="Times New Roman" w:hAnsi="DINProRegular" w:cs="Times New Roman"/>
          <w:color w:val="505050"/>
          <w:sz w:val="28"/>
          <w:szCs w:val="28"/>
          <w:lang w:eastAsia="tr-TR"/>
        </w:rPr>
        <w:t xml:space="preserve"> araştırılmaktadır.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Vatandaşlık başvurusu yapılan makam, yapacağı inceleme sonucu oluşan kanaatini de içeren dosyayı, karar alınmak üzere İçişleri Bakanlığına gönderir. İçişleri Bakanlığının ilgili hakkında vereceği vatandaşlık kararı ile birlikte, yabancı eş Türk vatandaşlığını kazanmış olur.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Evlenme ile Türk vatandaşlığını kazanan yabancılar evlenmenin butlanına karar verilmesi halinde evlenmede iyi niyetli iseler Türk vatandaşlığını muhafaza ederler.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t>Evlenme ile Türk vatandaşlığını kazanan yabancının evliliğinin butlanına karar verilmesi halinde, Türk vatandaşlığını muhafaza edip etmeyeceği konusu başvuru yapılan şehrin valiliği aracılığıyla İçişleri Bakanlığından sorulur.</w:t>
      </w:r>
    </w:p>
    <w:p w:rsidR="007C6F75" w:rsidRPr="007C6F75" w:rsidRDefault="007C6F75" w:rsidP="007C6F75">
      <w:pPr>
        <w:spacing w:after="383" w:line="383" w:lineRule="atLeast"/>
        <w:jc w:val="both"/>
        <w:rPr>
          <w:rFonts w:ascii="DINProRegular" w:eastAsia="Times New Roman" w:hAnsi="DINProRegular" w:cs="Times New Roman"/>
          <w:color w:val="505050"/>
          <w:sz w:val="28"/>
          <w:szCs w:val="28"/>
          <w:lang w:eastAsia="tr-TR"/>
        </w:rPr>
      </w:pPr>
      <w:r w:rsidRPr="007C6F75">
        <w:rPr>
          <w:rFonts w:ascii="DINProRegular" w:eastAsia="Times New Roman" w:hAnsi="DINProRegular" w:cs="Times New Roman"/>
          <w:color w:val="505050"/>
          <w:sz w:val="28"/>
          <w:szCs w:val="28"/>
          <w:lang w:eastAsia="tr-TR"/>
        </w:rPr>
        <w:lastRenderedPageBreak/>
        <w:t>Evlenmenin eşin vatandaşlığına etki edebilmesi için, hukuken geçerli bir evliliğin varlığı gereklidir. Evlenmenin ehliyet ve şartları bakımından ise, her bir tarafın kendi millî hukukuna göre, evlenme ehliyet ve şartları tespit edilecektir. Ehliyet ve şartlar ile şekil kurallarına uygun olarak yapılan evlenmeler, Türk kamu düzenine aykırı sayılan evlilikler ile hülle evlilikleri istisnaları dışında, hukuken geçerli evliliklerdir.</w:t>
      </w:r>
    </w:p>
    <w:p w:rsidR="001B73EE" w:rsidRPr="001B73EE" w:rsidRDefault="001B73EE" w:rsidP="001B73EE">
      <w:pPr>
        <w:spacing w:line="643" w:lineRule="atLeast"/>
        <w:outlineLvl w:val="0"/>
        <w:rPr>
          <w:rFonts w:ascii="DINProBold" w:eastAsia="Times New Roman" w:hAnsi="DINProBold" w:cs="Times New Roman"/>
          <w:b/>
          <w:bCs/>
          <w:color w:val="FF0000"/>
          <w:kern w:val="36"/>
          <w:sz w:val="61"/>
          <w:szCs w:val="61"/>
          <w:lang w:eastAsia="tr-TR"/>
        </w:rPr>
      </w:pPr>
      <w:r w:rsidRPr="001B73EE">
        <w:rPr>
          <w:rFonts w:ascii="DINProBold" w:eastAsia="Times New Roman" w:hAnsi="DINProBold" w:cs="Times New Roman"/>
          <w:b/>
          <w:bCs/>
          <w:color w:val="FF0000"/>
          <w:kern w:val="36"/>
          <w:sz w:val="61"/>
          <w:szCs w:val="61"/>
          <w:lang w:eastAsia="tr-TR"/>
        </w:rPr>
        <w:t>Mavi Kart</w:t>
      </w:r>
    </w:p>
    <w:p w:rsidR="001B73EE" w:rsidRDefault="001B73EE" w:rsidP="001B73EE">
      <w:pPr>
        <w:spacing w:after="383" w:line="383" w:lineRule="atLeast"/>
        <w:jc w:val="both"/>
        <w:rPr>
          <w:rFonts w:ascii="DINProRegular" w:eastAsia="Times New Roman" w:hAnsi="DINProRegular" w:cs="Times New Roman"/>
          <w:color w:val="505050"/>
          <w:sz w:val="26"/>
          <w:szCs w:val="26"/>
          <w:lang w:eastAsia="tr-TR"/>
        </w:rPr>
      </w:pPr>
      <w:r w:rsidRPr="001B73EE">
        <w:rPr>
          <w:rFonts w:ascii="DINProRegular" w:eastAsia="Times New Roman" w:hAnsi="DINProRegular" w:cs="Times New Roman"/>
          <w:color w:val="505050"/>
          <w:sz w:val="26"/>
          <w:szCs w:val="26"/>
          <w:lang w:eastAsia="tr-TR"/>
        </w:rPr>
        <w:t>Yurtdışındaki vatandaşlarımızın Türkiye'deki iş ve işlemlerini rahat bir şekilde gerçekleştirmesini sağlamak amacıyla hayata geçirilen Mavi Kart, süreç içerisinde gerçekleştirilen yasal düzenlemelerle daha işlevsel hale getirilmiştir. Doğumla Türk vatandaşı olup da vatandaşlıktan çıkma izni almak suretiyle Türk vatandaşlığını kaybedenlere ve vatandaşlıktan çıktıktan sonra doğan çocuklarına da verilen Mavi Kart, kanundaki değişiklikle birlikte “değerli kâğıt” kapsamına alınmıştır.</w:t>
      </w:r>
    </w:p>
    <w:p w:rsidR="001B73EE" w:rsidRDefault="001B73EE" w:rsidP="001B73EE">
      <w:pPr>
        <w:pStyle w:val="Balk4"/>
        <w:shd w:val="clear" w:color="auto" w:fill="FFFFFF"/>
        <w:spacing w:before="0"/>
        <w:rPr>
          <w:rFonts w:ascii="DINProBold" w:hAnsi="DINProBold"/>
          <w:color w:val="C2A24B"/>
          <w:sz w:val="34"/>
          <w:szCs w:val="34"/>
        </w:rPr>
      </w:pPr>
      <w:hyperlink r:id="rId5" w:anchor="collapse873" w:history="1">
        <w:r>
          <w:rPr>
            <w:rStyle w:val="Kpr"/>
            <w:rFonts w:ascii="DINProBold" w:hAnsi="DINProBold"/>
            <w:color w:val="141618"/>
            <w:sz w:val="28"/>
            <w:szCs w:val="28"/>
          </w:rPr>
          <w:t>Mavi Kart nedir?</w:t>
        </w:r>
      </w:hyperlink>
    </w:p>
    <w:p w:rsidR="001B73EE" w:rsidRPr="001B73EE" w:rsidRDefault="001B73EE" w:rsidP="001B73EE">
      <w:pPr>
        <w:pStyle w:val="NormalWeb"/>
        <w:spacing w:before="0" w:beforeAutospacing="0" w:after="383" w:afterAutospacing="0" w:line="383" w:lineRule="atLeast"/>
        <w:rPr>
          <w:rFonts w:ascii="DINProRegular" w:hAnsi="DINProRegular"/>
          <w:color w:val="505050"/>
          <w:sz w:val="26"/>
          <w:szCs w:val="26"/>
        </w:rPr>
      </w:pPr>
      <w:r>
        <w:rPr>
          <w:rFonts w:ascii="DINProRegular" w:hAnsi="DINProRegular"/>
          <w:color w:val="505050"/>
          <w:sz w:val="26"/>
          <w:szCs w:val="26"/>
        </w:rPr>
        <w:t>Mavi Kart, doğumla Türk vatandaşı olup da çıkma izni almak suretiyle Türk vatandaşlığını kaybedenlere ve bunların 5901 sayılı Türk Vatandaşlığı Kanununun 28 inci maddesinde belirtilen altsoylarına verilen ve söz konusu maddede belirtilen haklardan faydalanabileceklerini gösteren belgedir. 2013 yılından beri verilen yeni Mavi Kart, değerli kâğıt statüsünde olup kimlik belgesi olarak kullanılabilir</w:t>
      </w:r>
    </w:p>
    <w:p w:rsidR="001B73EE" w:rsidRDefault="001B73EE" w:rsidP="001B73EE">
      <w:pPr>
        <w:pStyle w:val="Balk4"/>
        <w:shd w:val="clear" w:color="auto" w:fill="FFFFFF"/>
        <w:spacing w:before="0"/>
        <w:rPr>
          <w:rFonts w:ascii="DINProBold" w:hAnsi="DINProBold"/>
          <w:color w:val="C2A24B"/>
          <w:sz w:val="34"/>
          <w:szCs w:val="34"/>
        </w:rPr>
      </w:pPr>
      <w:hyperlink r:id="rId6" w:anchor="collapse876" w:history="1">
        <w:r>
          <w:rPr>
            <w:rStyle w:val="Kpr"/>
            <w:rFonts w:ascii="DINProBold" w:hAnsi="DINProBold"/>
            <w:color w:val="141618"/>
            <w:sz w:val="28"/>
            <w:szCs w:val="28"/>
          </w:rPr>
          <w:t>Mavi Kart sahipleri Türkiye’de belli başlı hangi haklara sahiptir?</w:t>
        </w:r>
      </w:hyperlink>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Yabancı ülke vatandaşlarının aksine, ikamet tezkeresi almadan Türkiye’de ikamet edebilirler.</w:t>
      </w:r>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Türkiye’de, çalışma izni almaya gerek olmadan özel sektörde çalışabilirler.</w:t>
      </w:r>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Kamu kurum ve kuruluşlarında; işçi, geçici veya sözleşmeli personel olarak çalışabilirler, ancak, (kadrolu memur, kadrolu işçi gibi) bir kadroya dayalı ve kamu rejimine tabi olarak asli ve sürekli kamu hizmeti görevlerinde bulunamazlar. Türkiye’de gayrimenkul alıp satabilirler.</w:t>
      </w:r>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proofErr w:type="gramStart"/>
      <w:r w:rsidRPr="001B73EE">
        <w:rPr>
          <w:rFonts w:ascii="DINProRegular" w:hAnsi="DINProRegular"/>
          <w:color w:val="FF0000"/>
          <w:sz w:val="26"/>
          <w:szCs w:val="26"/>
        </w:rPr>
        <w:t>e</w:t>
      </w:r>
      <w:proofErr w:type="gramEnd"/>
      <w:r w:rsidRPr="001B73EE">
        <w:rPr>
          <w:rFonts w:ascii="DINProRegular" w:hAnsi="DINProRegular"/>
          <w:color w:val="FF0000"/>
          <w:sz w:val="26"/>
          <w:szCs w:val="26"/>
        </w:rPr>
        <w:t>-devlet hizmetlerinden faydalanabilirler.</w:t>
      </w:r>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Bireysel emeklilikte devlet katkısından faydalanabilirler.</w:t>
      </w:r>
    </w:p>
    <w:p w:rsidR="001B73EE" w:rsidRPr="001B73EE" w:rsidRDefault="001B73EE" w:rsidP="001B73EE">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 xml:space="preserve">Yurtdışından getirdikleri telefonlarını kaydettirebilirler </w:t>
      </w:r>
      <w:r w:rsidR="007D0385">
        <w:rPr>
          <w:rFonts w:ascii="DINProRegular" w:hAnsi="DINProRegular"/>
          <w:color w:val="FF0000"/>
          <w:sz w:val="26"/>
          <w:szCs w:val="26"/>
        </w:rPr>
        <w:t xml:space="preserve">                                        </w:t>
      </w:r>
      <w:r w:rsidRPr="001B73EE">
        <w:rPr>
          <w:rFonts w:ascii="DINProRegular" w:hAnsi="DINProRegular"/>
          <w:color w:val="FF0000"/>
          <w:sz w:val="26"/>
          <w:szCs w:val="26"/>
        </w:rPr>
        <w:t xml:space="preserve">(ayrıntılı bilgi: +90 312 294 94 </w:t>
      </w:r>
      <w:proofErr w:type="spellStart"/>
      <w:r w:rsidRPr="001B73EE">
        <w:rPr>
          <w:rFonts w:ascii="DINProRegular" w:hAnsi="DINProRegular"/>
          <w:color w:val="FF0000"/>
          <w:sz w:val="26"/>
          <w:szCs w:val="26"/>
        </w:rPr>
        <w:t>94</w:t>
      </w:r>
      <w:proofErr w:type="spellEnd"/>
      <w:r w:rsidRPr="001B73EE">
        <w:rPr>
          <w:rFonts w:ascii="DINProRegular" w:hAnsi="DINProRegular"/>
          <w:color w:val="FF0000"/>
          <w:sz w:val="26"/>
          <w:szCs w:val="26"/>
        </w:rPr>
        <w:t>).</w:t>
      </w:r>
    </w:p>
    <w:p w:rsidR="001B73EE" w:rsidRPr="001B73EE" w:rsidRDefault="001B73EE" w:rsidP="007D0385">
      <w:pPr>
        <w:numPr>
          <w:ilvl w:val="0"/>
          <w:numId w:val="2"/>
        </w:numPr>
        <w:spacing w:after="0" w:line="383" w:lineRule="atLeast"/>
        <w:ind w:left="0"/>
        <w:rPr>
          <w:rFonts w:ascii="DINProRegular" w:hAnsi="DINProRegular"/>
          <w:color w:val="FF0000"/>
          <w:sz w:val="26"/>
          <w:szCs w:val="26"/>
        </w:rPr>
      </w:pPr>
      <w:r w:rsidRPr="001B73EE">
        <w:rPr>
          <w:rFonts w:ascii="DINProRegular" w:hAnsi="DINProRegular"/>
          <w:color w:val="FF0000"/>
          <w:sz w:val="26"/>
          <w:szCs w:val="26"/>
        </w:rPr>
        <w:t> Bunlar gibi Türk vatandaşlarına tanınan birçok haktan faydalanabilirler.</w:t>
      </w:r>
    </w:p>
    <w:p w:rsidR="001B73EE" w:rsidRDefault="001B73EE" w:rsidP="001B73EE">
      <w:pPr>
        <w:pStyle w:val="Balk4"/>
        <w:shd w:val="clear" w:color="auto" w:fill="FFFFFF"/>
        <w:spacing w:before="0"/>
        <w:rPr>
          <w:rFonts w:ascii="DINProBold" w:hAnsi="DINProBold"/>
          <w:color w:val="C2A24B"/>
          <w:sz w:val="34"/>
          <w:szCs w:val="34"/>
        </w:rPr>
      </w:pPr>
      <w:hyperlink r:id="rId7" w:anchor="collapse874" w:history="1">
        <w:r>
          <w:rPr>
            <w:rStyle w:val="Kpr"/>
            <w:rFonts w:ascii="DINProBold" w:hAnsi="DINProBold"/>
            <w:color w:val="141618"/>
            <w:sz w:val="28"/>
            <w:szCs w:val="28"/>
          </w:rPr>
          <w:t>Mavi Kart’ı nereden ve nasıl alabilirim?</w:t>
        </w:r>
      </w:hyperlink>
    </w:p>
    <w:p w:rsidR="001B73EE" w:rsidRDefault="001B73EE" w:rsidP="001B73EE">
      <w:pPr>
        <w:pStyle w:val="NormalWeb"/>
        <w:spacing w:before="0" w:beforeAutospacing="0" w:after="0" w:afterAutospacing="0" w:line="383" w:lineRule="atLeast"/>
        <w:rPr>
          <w:rFonts w:ascii="DINProRegular" w:hAnsi="DINProRegular"/>
          <w:color w:val="505050"/>
          <w:sz w:val="26"/>
          <w:szCs w:val="26"/>
        </w:rPr>
      </w:pPr>
      <w:r>
        <w:rPr>
          <w:rFonts w:ascii="DINProRegular" w:hAnsi="DINProRegular"/>
          <w:color w:val="505050"/>
          <w:sz w:val="26"/>
          <w:szCs w:val="26"/>
        </w:rPr>
        <w:t>Mavi Kart, yurtdışında dış temsilcilikler, yurt içinde ilçe nüfus müdürlükleri tarafından düzenlenir. Mavi Kart almak için; iki adet fotoğraf ve yabancı devlet vatandaşı olduğunu gösteren kimlik belgesi veya pasaport ile müracaat etmek yeterlidir.</w:t>
      </w:r>
    </w:p>
    <w:p w:rsidR="001B73EE" w:rsidRPr="001B73EE" w:rsidRDefault="001B73EE" w:rsidP="001B73EE">
      <w:pPr>
        <w:pStyle w:val="Balk1"/>
        <w:spacing w:before="0" w:beforeAutospacing="0" w:after="0" w:afterAutospacing="0" w:line="643" w:lineRule="atLeast"/>
        <w:jc w:val="both"/>
        <w:rPr>
          <w:color w:val="FF0000"/>
          <w:sz w:val="28"/>
          <w:szCs w:val="28"/>
        </w:rPr>
      </w:pPr>
      <w:r w:rsidRPr="001B73EE">
        <w:rPr>
          <w:color w:val="FF0000"/>
          <w:sz w:val="28"/>
          <w:szCs w:val="28"/>
        </w:rPr>
        <w:t>Türkiye'deki Seçimlere Katılım</w:t>
      </w:r>
    </w:p>
    <w:p w:rsidR="001B73EE" w:rsidRP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t>Diasporaların kendi anavatanlarındaki seçimler için oy kullanmaları 150 yıllık bir geçmişe sahiptir. Bilinen ilk yurtdışı oy, 1862’de Wisconsin eyaletinde yapılan seçimler sırasında Amerikan İç Savaşı nedeniyle cephede bulunan askerler tarafından kullanılmıştır. Avustralya 1902; Birleşik Krallık 1918, Norveç 1921, ABD 1942 ve Kanada 1994’de yurtdışında oy kullanmayı yasal hale getiren ilk ülkelerdir.</w:t>
      </w:r>
    </w:p>
    <w:p w:rsidR="001B73EE" w:rsidRP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t>Günümüzde, yurtdışından oy kullanmayı yasalarla düzenleyen 120’den fazla ülke bulunmaktadır. Bu ülkelerin büyük kısmında yurtdışında oy kullanma; sandık kurma, posta ya da e-mail yoluyla hayata geçirilmiştir. Türkiye’de ise yurtdışında yaşayan vatandaşlarımız tarihte ilk kez 2014 yılında gerçekleştirilen Cumhurbaşkanlığı seçiminde oylarını kullanmıştır.</w:t>
      </w:r>
    </w:p>
    <w:p w:rsidR="001B73EE" w:rsidRP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t xml:space="preserve">Gümrük kapılarında oy kullanmanın hem masraflı hem de uzun yol şartları nedeniyle zahmetli bir iş olması dolayısıyla yurtdışında yaşayan vatandaşlarımızın seçimlere katılım oranları şimdiye kadar oldukça düşük seyretmiştir. 2012’de yapılan düzenlemeyle yurtdışında oy kullanma imkânı hayata geçirilmiştir. </w:t>
      </w:r>
      <w:proofErr w:type="gramStart"/>
      <w:r w:rsidRPr="001B73EE">
        <w:rPr>
          <w:color w:val="505050"/>
          <w:sz w:val="28"/>
          <w:szCs w:val="28"/>
        </w:rPr>
        <w:t>2014 yılında yapılan Cumhurbaşkanlığı seçiminde oy kullanan yurtdışı seçmen sayısı 530 bin iken, 7 Haziran 2015 Seçimlerinde 1 Milyon 56 bin, 1 Kasım 2015 Seçimlerinde 1 Milyon 300 bin, 16 Nisan 2017 Referandumunda 1 Milyon 400 bin, 24 Haziran 2018  Cumhurbaşkanlığı ve Milletvekilliği Genel Seçimlerinde 1 Milyon 525 bin kişiye ulaşmıştır. </w:t>
      </w:r>
      <w:proofErr w:type="gramEnd"/>
      <w:r w:rsidRPr="001B73EE">
        <w:rPr>
          <w:color w:val="505050"/>
          <w:sz w:val="28"/>
          <w:szCs w:val="28"/>
        </w:rPr>
        <w:t>Bu veriler, yurtdışı seçmenlere yerinde oy kullanma hakkının verilmesiyle birlikte siyasal katılımın her geçen yıl daha da yükseldiğini ortaya koymaktadır.</w:t>
      </w:r>
    </w:p>
    <w:p w:rsid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1B73EE">
        <w:rPr>
          <w:color w:val="505050"/>
          <w:sz w:val="28"/>
          <w:szCs w:val="28"/>
        </w:rPr>
        <w:t>Seçimlerdeki yüksek katılım vatandaşlarımızın anavatana olana aidiyetlerini ve ilgilerini göstermesi açısından oldukça önemlidir. Bunun yanı sıra, yurtdışı seçmenlerin bulundukları ülkelerde oy kullanabilmesi vatandaşlarımızın Türkiye siyasetine yön verebilmesine, beklenti ve taleplerinin gündeme gelmesine de imkân sağlamaktadır.</w:t>
      </w:r>
    </w:p>
    <w:p w:rsidR="001B73EE" w:rsidRPr="001B73EE" w:rsidRDefault="001B73EE" w:rsidP="001B73EE">
      <w:pPr>
        <w:pStyle w:val="NormalWeb"/>
        <w:spacing w:before="0" w:beforeAutospacing="0" w:after="383" w:afterAutospacing="0" w:line="383" w:lineRule="atLeast"/>
        <w:jc w:val="both"/>
        <w:rPr>
          <w:color w:val="FF0000"/>
          <w:sz w:val="28"/>
          <w:szCs w:val="28"/>
        </w:rPr>
      </w:pPr>
      <w:r w:rsidRPr="001B73EE">
        <w:rPr>
          <w:rStyle w:val="Gl"/>
          <w:bCs w:val="0"/>
          <w:color w:val="FF0000"/>
          <w:sz w:val="28"/>
          <w:szCs w:val="28"/>
        </w:rPr>
        <w:lastRenderedPageBreak/>
        <w:t>Yurtdışında Oy Kullanma</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Yurtdışında yaşayan vatandaşlarımızın bulundukları ülkelerde oy kullanabilmeleri için öncelikle “Yurtdışı Seçmen Kütüğü”ne kayıtlı olmaları gerekmektedir. Yüksek Seçim Kurulu (YSK), Cumhurbaşkanlığı Seçimleri, Milletvekili Seçimleri ve Halkoylamaları öncesinde, belirlediği seçim takvimine göre seçmen listelerini ilan etmektedir.</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Yurtdışındaki vatandaşlarımız, YSK tarafından belirlenen ve ilan edilen tarih aralığında internet sitesi (</w:t>
      </w:r>
      <w:hyperlink r:id="rId8" w:tgtFrame="_blank" w:history="1">
        <w:r w:rsidRPr="001B73EE">
          <w:rPr>
            <w:rStyle w:val="Kpr"/>
            <w:rFonts w:eastAsiaTheme="majorEastAsia"/>
            <w:color w:val="C2A24C"/>
            <w:sz w:val="28"/>
            <w:szCs w:val="28"/>
          </w:rPr>
          <w:t>www.ysk.gov.tr</w:t>
        </w:r>
      </w:hyperlink>
      <w:r w:rsidRPr="001B73EE">
        <w:rPr>
          <w:color w:val="505050"/>
          <w:sz w:val="28"/>
          <w:szCs w:val="28"/>
          <w:shd w:val="clear" w:color="auto" w:fill="FFFFFF"/>
        </w:rPr>
        <w:t>)  üzerinden  “Yurtdışı Seçmen Sorgulama” kısmından yurtdışı seçmen kütüğüne kayıtlı olup olunmadığını sorgulayabilmektedir. Eğer yurtdışında ikamet edilmesine rağmen kütüğe kayıtlı olunmaması halinde, yine YSK tarafından ilan edilen tarihler arasında ve belirlenen yöntemle nasıl kayıt olunabileceği bildirilmektedir.</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Yurtdışı Seçmen Kütüğüne kayıtlı vatandaşlarımızın, hangi ülkelerde, hangi tarihlerde, nerelerde ve hangi saat aralığında oylarını kullanabilecekleri, her seçim öncesinde Yüksek Seçim Kurulu (YSK) tarafından belirlenmekte ve ilan edilmektedir.</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Seçimler öncesinde, Yüksek Seçim Kurulu (</w:t>
      </w:r>
      <w:hyperlink r:id="rId9" w:tgtFrame="_blank" w:history="1">
        <w:r w:rsidRPr="001B73EE">
          <w:rPr>
            <w:rStyle w:val="Kpr"/>
            <w:rFonts w:eastAsiaTheme="majorEastAsia"/>
            <w:color w:val="C2A24C"/>
            <w:sz w:val="28"/>
            <w:szCs w:val="28"/>
          </w:rPr>
          <w:t>www.ysk.gov.tr</w:t>
        </w:r>
      </w:hyperlink>
      <w:r w:rsidRPr="001B73EE">
        <w:rPr>
          <w:color w:val="505050"/>
          <w:sz w:val="28"/>
          <w:szCs w:val="28"/>
          <w:shd w:val="clear" w:color="auto" w:fill="FFFFFF"/>
        </w:rPr>
        <w:t>), Dış Temsilciliklerimiz (</w:t>
      </w:r>
      <w:hyperlink r:id="rId10" w:tgtFrame="_blank" w:history="1">
        <w:r w:rsidRPr="001B73EE">
          <w:rPr>
            <w:rStyle w:val="Kpr"/>
            <w:rFonts w:eastAsiaTheme="majorEastAsia"/>
            <w:color w:val="C2A24C"/>
            <w:sz w:val="28"/>
            <w:szCs w:val="28"/>
          </w:rPr>
          <w:t>www.mfa.gov.tr</w:t>
        </w:r>
      </w:hyperlink>
      <w:r w:rsidRPr="001B73EE">
        <w:rPr>
          <w:color w:val="505050"/>
          <w:sz w:val="28"/>
          <w:szCs w:val="28"/>
          <w:shd w:val="clear" w:color="auto" w:fill="FFFFFF"/>
        </w:rPr>
        <w:t>) ve Başkanlığımızın (</w:t>
      </w:r>
      <w:hyperlink r:id="rId11" w:tgtFrame="_blank" w:history="1">
        <w:r w:rsidRPr="001B73EE">
          <w:rPr>
            <w:rStyle w:val="Kpr"/>
            <w:rFonts w:eastAsiaTheme="majorEastAsia"/>
            <w:color w:val="C2A24C"/>
            <w:sz w:val="28"/>
            <w:szCs w:val="28"/>
          </w:rPr>
          <w:t>secim.</w:t>
        </w:r>
        <w:proofErr w:type="spellStart"/>
        <w:r w:rsidRPr="001B73EE">
          <w:rPr>
            <w:rStyle w:val="Kpr"/>
            <w:rFonts w:eastAsiaTheme="majorEastAsia"/>
            <w:color w:val="C2A24C"/>
            <w:sz w:val="28"/>
            <w:szCs w:val="28"/>
          </w:rPr>
          <w:t>ytb</w:t>
        </w:r>
        <w:proofErr w:type="spellEnd"/>
        <w:r w:rsidRPr="001B73EE">
          <w:rPr>
            <w:rStyle w:val="Kpr"/>
            <w:rFonts w:eastAsiaTheme="majorEastAsia"/>
            <w:color w:val="C2A24C"/>
            <w:sz w:val="28"/>
            <w:szCs w:val="28"/>
          </w:rPr>
          <w:t>.gov.tr</w:t>
        </w:r>
      </w:hyperlink>
      <w:r w:rsidRPr="001B73EE">
        <w:rPr>
          <w:color w:val="505050"/>
          <w:sz w:val="28"/>
          <w:szCs w:val="28"/>
          <w:shd w:val="clear" w:color="auto" w:fill="FFFFFF"/>
        </w:rPr>
        <w:t>) internet siteleri üzerinden yapılacak bilgilendirmelerin takip edilmesini önemle tavsiye etmekteyiz.</w:t>
      </w:r>
    </w:p>
    <w:p w:rsidR="001B73EE" w:rsidRP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t> </w:t>
      </w:r>
    </w:p>
    <w:p w:rsidR="001B73EE" w:rsidRPr="001B73EE" w:rsidRDefault="001B73EE" w:rsidP="001B73EE">
      <w:pPr>
        <w:pStyle w:val="Balk3"/>
        <w:spacing w:before="0" w:beforeAutospacing="0" w:after="0" w:afterAutospacing="0"/>
        <w:jc w:val="both"/>
        <w:rPr>
          <w:b w:val="0"/>
          <w:bCs w:val="0"/>
          <w:color w:val="333333"/>
          <w:sz w:val="28"/>
          <w:szCs w:val="28"/>
        </w:rPr>
      </w:pPr>
      <w:proofErr w:type="spellStart"/>
      <w:r w:rsidRPr="001B73EE">
        <w:rPr>
          <w:rStyle w:val="Gl"/>
          <w:b/>
          <w:bCs/>
          <w:color w:val="333333"/>
          <w:sz w:val="28"/>
          <w:szCs w:val="28"/>
          <w:shd w:val="clear" w:color="auto" w:fill="FFFFFF"/>
        </w:rPr>
        <w:t>YTB’nin</w:t>
      </w:r>
      <w:proofErr w:type="spellEnd"/>
      <w:r w:rsidRPr="001B73EE">
        <w:rPr>
          <w:rStyle w:val="Gl"/>
          <w:b/>
          <w:bCs/>
          <w:color w:val="333333"/>
          <w:sz w:val="28"/>
          <w:szCs w:val="28"/>
          <w:shd w:val="clear" w:color="auto" w:fill="FFFFFF"/>
        </w:rPr>
        <w:t xml:space="preserve"> Bilgilendirme Çalışmaları</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Yurtdışında yaşayan vatandaşlarımızın bulundukları ülkelerde ilk defa 2014 yılındaki Cumhurbaşkanlığı Seçimlerinde oy kullanabilmiş olmaları nedeniyle, gerek vatandaşlarımızın yurtdışı seçmen kütüğüne kayıt olmaları, gerekse bulundukları ülkelerde ne zaman, nerede ve nasıl oylarını kullanabileceklerini ilişkin Başkanlığımızca çeşitli bilgilendirme çalışmaları yürütülmüştür.</w:t>
      </w:r>
    </w:p>
    <w:p w:rsidR="001B73EE" w:rsidRPr="001B73EE" w:rsidRDefault="001B73EE" w:rsidP="001B73EE">
      <w:pPr>
        <w:pStyle w:val="NormalWeb"/>
        <w:spacing w:before="0" w:beforeAutospacing="0" w:after="0" w:afterAutospacing="0" w:line="383" w:lineRule="atLeast"/>
        <w:jc w:val="both"/>
        <w:rPr>
          <w:color w:val="505050"/>
          <w:sz w:val="28"/>
          <w:szCs w:val="28"/>
        </w:rPr>
      </w:pPr>
      <w:r w:rsidRPr="001B73EE">
        <w:rPr>
          <w:color w:val="505050"/>
          <w:sz w:val="28"/>
          <w:szCs w:val="28"/>
          <w:shd w:val="clear" w:color="auto" w:fill="FFFFFF"/>
        </w:rPr>
        <w:t xml:space="preserve">Bu kapsamda aşağıda örnekleri yer alan bilgilendirici film, özel video, afiş, broşür ve </w:t>
      </w:r>
      <w:proofErr w:type="spellStart"/>
      <w:r w:rsidRPr="001B73EE">
        <w:rPr>
          <w:color w:val="505050"/>
          <w:sz w:val="28"/>
          <w:szCs w:val="28"/>
          <w:shd w:val="clear" w:color="auto" w:fill="FFFFFF"/>
        </w:rPr>
        <w:t>info</w:t>
      </w:r>
      <w:proofErr w:type="spellEnd"/>
      <w:r w:rsidRPr="001B73EE">
        <w:rPr>
          <w:color w:val="505050"/>
          <w:sz w:val="28"/>
          <w:szCs w:val="28"/>
          <w:shd w:val="clear" w:color="auto" w:fill="FFFFFF"/>
        </w:rPr>
        <w:t>-grafikler hazırlanmış, özel programlar yaptırılmış ve yurtdışındaki vatandaşlarımıza ulaştırılmıştır.</w:t>
      </w:r>
    </w:p>
    <w:p w:rsidR="001B73EE" w:rsidRDefault="001B73EE" w:rsidP="001B73EE">
      <w:pPr>
        <w:pStyle w:val="NormalWeb"/>
        <w:spacing w:before="0" w:beforeAutospacing="0" w:after="383" w:afterAutospacing="0" w:line="383" w:lineRule="atLeast"/>
        <w:jc w:val="both"/>
        <w:rPr>
          <w:color w:val="505050"/>
          <w:sz w:val="28"/>
          <w:szCs w:val="28"/>
        </w:rPr>
      </w:pPr>
      <w:r w:rsidRPr="001B73EE">
        <w:rPr>
          <w:color w:val="505050"/>
          <w:sz w:val="28"/>
          <w:szCs w:val="28"/>
        </w:rPr>
        <w:t> </w:t>
      </w:r>
    </w:p>
    <w:p w:rsidR="007D0385" w:rsidRPr="001B73EE" w:rsidRDefault="007D0385" w:rsidP="001B73EE">
      <w:pPr>
        <w:pStyle w:val="NormalWeb"/>
        <w:spacing w:before="0" w:beforeAutospacing="0" w:after="383" w:afterAutospacing="0" w:line="383" w:lineRule="atLeast"/>
        <w:jc w:val="both"/>
        <w:rPr>
          <w:color w:val="505050"/>
          <w:sz w:val="28"/>
          <w:szCs w:val="28"/>
        </w:rPr>
      </w:pPr>
    </w:p>
    <w:p w:rsidR="009B214B" w:rsidRPr="00AE003B" w:rsidRDefault="009B214B" w:rsidP="009B214B">
      <w:pPr>
        <w:shd w:val="clear" w:color="auto" w:fill="E8E8E8"/>
        <w:spacing w:line="643" w:lineRule="atLeast"/>
        <w:outlineLvl w:val="0"/>
        <w:rPr>
          <w:rFonts w:ascii="DINProBold" w:eastAsia="Times New Roman" w:hAnsi="DINProBold" w:cs="Times New Roman"/>
          <w:b/>
          <w:bCs/>
          <w:color w:val="C2A24B"/>
          <w:kern w:val="36"/>
          <w:sz w:val="61"/>
          <w:szCs w:val="61"/>
          <w:lang w:eastAsia="tr-TR"/>
        </w:rPr>
      </w:pPr>
      <w:r w:rsidRPr="00AE003B">
        <w:rPr>
          <w:rFonts w:ascii="DINProBold" w:eastAsia="Times New Roman" w:hAnsi="DINProBold" w:cs="Times New Roman"/>
          <w:b/>
          <w:bCs/>
          <w:color w:val="C2A24B"/>
          <w:kern w:val="36"/>
          <w:sz w:val="61"/>
          <w:szCs w:val="61"/>
          <w:lang w:eastAsia="tr-TR"/>
        </w:rPr>
        <w:lastRenderedPageBreak/>
        <w:t>Yurtdışı Vatandaş Rehberi</w:t>
      </w:r>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2" w:history="1">
        <w:r w:rsidRPr="00AE003B">
          <w:rPr>
            <w:rFonts w:ascii="DINProBold" w:eastAsia="Times New Roman" w:hAnsi="DINProBold" w:cs="Times New Roman"/>
            <w:color w:val="C2A24B"/>
            <w:sz w:val="31"/>
            <w:u w:val="single"/>
            <w:lang w:eastAsia="tr-TR"/>
          </w:rPr>
          <w:t>Pasaport</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3" w:history="1">
        <w:r w:rsidRPr="00AE003B">
          <w:rPr>
            <w:rFonts w:ascii="DINProBold" w:eastAsia="Times New Roman" w:hAnsi="DINProBold" w:cs="Times New Roman"/>
            <w:color w:val="C2A24B"/>
            <w:sz w:val="31"/>
            <w:u w:val="single"/>
            <w:lang w:eastAsia="tr-TR"/>
          </w:rPr>
          <w:t>Gümrük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4" w:history="1">
        <w:r w:rsidRPr="00AE003B">
          <w:rPr>
            <w:rFonts w:ascii="DINProBold" w:eastAsia="Times New Roman" w:hAnsi="DINProBold" w:cs="Times New Roman"/>
            <w:color w:val="C2A24B"/>
            <w:sz w:val="31"/>
            <w:u w:val="single"/>
            <w:lang w:eastAsia="tr-TR"/>
          </w:rPr>
          <w:t>Trafik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5" w:history="1">
        <w:r w:rsidRPr="00AE003B">
          <w:rPr>
            <w:rFonts w:ascii="DINProBold" w:eastAsia="Times New Roman" w:hAnsi="DINProBold" w:cs="Times New Roman"/>
            <w:color w:val="C2A24B"/>
            <w:sz w:val="31"/>
            <w:u w:val="single"/>
            <w:lang w:eastAsia="tr-TR"/>
          </w:rPr>
          <w:t>Sağlık ve Sosyal Güvenlik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6" w:history="1">
        <w:r w:rsidRPr="00AE003B">
          <w:rPr>
            <w:rFonts w:ascii="DINProBold" w:eastAsia="Times New Roman" w:hAnsi="DINProBold" w:cs="Times New Roman"/>
            <w:color w:val="C2A24B"/>
            <w:sz w:val="31"/>
            <w:u w:val="single"/>
            <w:lang w:eastAsia="tr-TR"/>
          </w:rPr>
          <w:t>Eğitim ve Gençlik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7" w:history="1">
        <w:r w:rsidRPr="00AE003B">
          <w:rPr>
            <w:rFonts w:ascii="DINProBold" w:eastAsia="Times New Roman" w:hAnsi="DINProBold" w:cs="Times New Roman"/>
            <w:color w:val="C2A24B"/>
            <w:sz w:val="31"/>
            <w:u w:val="single"/>
            <w:lang w:eastAsia="tr-TR"/>
          </w:rPr>
          <w:t>Askerlik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8" w:history="1">
        <w:r w:rsidRPr="00AE003B">
          <w:rPr>
            <w:rFonts w:ascii="DINProBold" w:eastAsia="Times New Roman" w:hAnsi="DINProBold" w:cs="Times New Roman"/>
            <w:color w:val="C2A24B"/>
            <w:sz w:val="31"/>
            <w:u w:val="single"/>
            <w:lang w:eastAsia="tr-TR"/>
          </w:rPr>
          <w:t>Vergi ve Tapu</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19" w:history="1">
        <w:r w:rsidRPr="00AE003B">
          <w:rPr>
            <w:rFonts w:ascii="DINProBold" w:eastAsia="Times New Roman" w:hAnsi="DINProBold" w:cs="Times New Roman"/>
            <w:color w:val="C2A24B"/>
            <w:sz w:val="31"/>
            <w:u w:val="single"/>
            <w:lang w:eastAsia="tr-TR"/>
          </w:rPr>
          <w:t>Nüfus</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0" w:history="1">
        <w:r w:rsidRPr="00AE003B">
          <w:rPr>
            <w:rFonts w:ascii="DINProBold" w:eastAsia="Times New Roman" w:hAnsi="DINProBold" w:cs="Times New Roman"/>
            <w:color w:val="C2A24B"/>
            <w:sz w:val="31"/>
            <w:u w:val="single"/>
            <w:lang w:eastAsia="tr-TR"/>
          </w:rPr>
          <w:t>Mavi Kart</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1" w:history="1">
        <w:r w:rsidRPr="00AE003B">
          <w:rPr>
            <w:rFonts w:ascii="DINProBold" w:eastAsia="Times New Roman" w:hAnsi="DINProBold" w:cs="Times New Roman"/>
            <w:color w:val="C2A24B"/>
            <w:sz w:val="31"/>
            <w:u w:val="single"/>
            <w:lang w:eastAsia="tr-TR"/>
          </w:rPr>
          <w:t>CİMER</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2" w:history="1">
        <w:proofErr w:type="gramStart"/>
        <w:r w:rsidRPr="00AE003B">
          <w:rPr>
            <w:rFonts w:ascii="DINProBold" w:eastAsia="Times New Roman" w:hAnsi="DINProBold" w:cs="Times New Roman"/>
            <w:color w:val="C2A24B"/>
            <w:sz w:val="31"/>
            <w:u w:val="single"/>
            <w:lang w:eastAsia="tr-TR"/>
          </w:rPr>
          <w:t>e</w:t>
        </w:r>
        <w:proofErr w:type="gramEnd"/>
        <w:r w:rsidRPr="00AE003B">
          <w:rPr>
            <w:rFonts w:ascii="DINProBold" w:eastAsia="Times New Roman" w:hAnsi="DINProBold" w:cs="Times New Roman"/>
            <w:color w:val="C2A24B"/>
            <w:sz w:val="31"/>
            <w:u w:val="single"/>
            <w:lang w:eastAsia="tr-TR"/>
          </w:rPr>
          <w:t>-Devlet</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3" w:history="1">
        <w:r w:rsidRPr="00AE003B">
          <w:rPr>
            <w:rFonts w:ascii="DINProBold" w:eastAsia="Times New Roman" w:hAnsi="DINProBold" w:cs="Times New Roman"/>
            <w:color w:val="C2A24B"/>
            <w:sz w:val="31"/>
            <w:u w:val="single"/>
            <w:lang w:eastAsia="tr-TR"/>
          </w:rPr>
          <w:t>Türkiye Seçimlerinde Oy Kullanma</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4" w:history="1">
        <w:r w:rsidRPr="00AE003B">
          <w:rPr>
            <w:rFonts w:ascii="DINProBold" w:eastAsia="Times New Roman" w:hAnsi="DINProBold" w:cs="Times New Roman"/>
            <w:color w:val="C2A24B"/>
            <w:sz w:val="31"/>
            <w:u w:val="single"/>
            <w:lang w:eastAsia="tr-TR"/>
          </w:rPr>
          <w:t>Sosyal Hizmetler</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5" w:history="1">
        <w:r w:rsidRPr="00AE003B">
          <w:rPr>
            <w:rFonts w:ascii="DINProBold" w:eastAsia="Times New Roman" w:hAnsi="DINProBold" w:cs="Times New Roman"/>
            <w:color w:val="C2A24B"/>
            <w:sz w:val="31"/>
            <w:u w:val="single"/>
            <w:lang w:eastAsia="tr-TR"/>
          </w:rPr>
          <w:t>Üniversite Eğitimi</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6" w:history="1">
        <w:r w:rsidRPr="00AE003B">
          <w:rPr>
            <w:rFonts w:ascii="DINProBold" w:eastAsia="Times New Roman" w:hAnsi="DINProBold" w:cs="Times New Roman"/>
            <w:color w:val="C2A24B"/>
            <w:sz w:val="31"/>
            <w:u w:val="single"/>
            <w:lang w:eastAsia="tr-TR"/>
          </w:rPr>
          <w:t>Uluslararası İlahiyat Programı</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7" w:history="1">
        <w:r w:rsidRPr="00AE003B">
          <w:rPr>
            <w:rFonts w:ascii="DINProBold" w:eastAsia="Times New Roman" w:hAnsi="DINProBold" w:cs="Times New Roman"/>
            <w:color w:val="C2A24B"/>
            <w:sz w:val="31"/>
            <w:u w:val="single"/>
            <w:lang w:eastAsia="tr-TR"/>
          </w:rPr>
          <w:t>Gençlik</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8" w:history="1">
        <w:r w:rsidRPr="00AE003B">
          <w:rPr>
            <w:rFonts w:ascii="DINProBold" w:eastAsia="Times New Roman" w:hAnsi="DINProBold" w:cs="Times New Roman"/>
            <w:color w:val="C2A24B"/>
            <w:sz w:val="31"/>
            <w:u w:val="single"/>
            <w:lang w:eastAsia="tr-TR"/>
          </w:rPr>
          <w:t>Adalet</w:t>
        </w:r>
      </w:hyperlink>
    </w:p>
    <w:p w:rsidR="009B214B" w:rsidRPr="00AE003B" w:rsidRDefault="009B214B" w:rsidP="009B214B">
      <w:pPr>
        <w:shd w:val="clear" w:color="auto" w:fill="E8E8E8"/>
        <w:spacing w:line="240" w:lineRule="auto"/>
        <w:rPr>
          <w:rFonts w:ascii="DINProRegular" w:eastAsia="Times New Roman" w:hAnsi="DINProRegular" w:cs="Times New Roman"/>
          <w:color w:val="333333"/>
          <w:sz w:val="21"/>
          <w:szCs w:val="21"/>
          <w:lang w:eastAsia="tr-TR"/>
        </w:rPr>
      </w:pPr>
      <w:hyperlink r:id="rId29" w:history="1">
        <w:r w:rsidRPr="00AE003B">
          <w:rPr>
            <w:rFonts w:ascii="DINProBold" w:eastAsia="Times New Roman" w:hAnsi="DINProBold" w:cs="Times New Roman"/>
            <w:color w:val="9E8328"/>
            <w:sz w:val="31"/>
            <w:u w:val="single"/>
            <w:lang w:eastAsia="tr-TR"/>
          </w:rPr>
          <w:t>PTT Aracılığıyla Para Havalesi</w:t>
        </w:r>
      </w:hyperlink>
    </w:p>
    <w:p w:rsidR="009B214B" w:rsidRDefault="009B214B" w:rsidP="009B214B"/>
    <w:p w:rsidR="007C1E4E" w:rsidRPr="001B73EE" w:rsidRDefault="007C1E4E" w:rsidP="001B73EE">
      <w:pPr>
        <w:jc w:val="both"/>
        <w:rPr>
          <w:rFonts w:ascii="Times New Roman" w:hAnsi="Times New Roman" w:cs="Times New Roman"/>
          <w:sz w:val="28"/>
          <w:szCs w:val="28"/>
        </w:rPr>
      </w:pPr>
    </w:p>
    <w:sectPr w:rsidR="007C1E4E" w:rsidRPr="001B73EE" w:rsidSect="007C1E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DINPro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DINPr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537F"/>
    <w:multiLevelType w:val="multilevel"/>
    <w:tmpl w:val="907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96F1A"/>
    <w:multiLevelType w:val="multilevel"/>
    <w:tmpl w:val="14F8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C6F75"/>
    <w:rsid w:val="001B73EE"/>
    <w:rsid w:val="00781C95"/>
    <w:rsid w:val="007C1E4E"/>
    <w:rsid w:val="007C6F75"/>
    <w:rsid w:val="007D0385"/>
    <w:rsid w:val="007F0F3A"/>
    <w:rsid w:val="009B21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4E"/>
  </w:style>
  <w:style w:type="paragraph" w:styleId="Balk1">
    <w:name w:val="heading 1"/>
    <w:basedOn w:val="Normal"/>
    <w:link w:val="Balk1Char"/>
    <w:uiPriority w:val="9"/>
    <w:qFormat/>
    <w:rsid w:val="007C6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C6F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1B73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6F75"/>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C6F75"/>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7C6F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C6F75"/>
    <w:rPr>
      <w:color w:val="0000FF"/>
      <w:u w:val="single"/>
    </w:rPr>
  </w:style>
  <w:style w:type="character" w:customStyle="1" w:styleId="Balk4Char">
    <w:name w:val="Başlık 4 Char"/>
    <w:basedOn w:val="VarsaylanParagrafYazTipi"/>
    <w:link w:val="Balk4"/>
    <w:uiPriority w:val="9"/>
    <w:semiHidden/>
    <w:rsid w:val="001B73EE"/>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1B73EE"/>
    <w:rPr>
      <w:b/>
      <w:bCs/>
    </w:rPr>
  </w:style>
</w:styles>
</file>

<file path=word/webSettings.xml><?xml version="1.0" encoding="utf-8"?>
<w:webSettings xmlns:r="http://schemas.openxmlformats.org/officeDocument/2006/relationships" xmlns:w="http://schemas.openxmlformats.org/wordprocessingml/2006/main">
  <w:divs>
    <w:div w:id="455098423">
      <w:bodyDiv w:val="1"/>
      <w:marLeft w:val="0"/>
      <w:marRight w:val="0"/>
      <w:marTop w:val="0"/>
      <w:marBottom w:val="0"/>
      <w:divBdr>
        <w:top w:val="none" w:sz="0" w:space="0" w:color="auto"/>
        <w:left w:val="none" w:sz="0" w:space="0" w:color="auto"/>
        <w:bottom w:val="none" w:sz="0" w:space="0" w:color="auto"/>
        <w:right w:val="none" w:sz="0" w:space="0" w:color="auto"/>
      </w:divBdr>
      <w:divsChild>
        <w:div w:id="997344603">
          <w:marLeft w:val="0"/>
          <w:marRight w:val="0"/>
          <w:marTop w:val="613"/>
          <w:marBottom w:val="460"/>
          <w:divBdr>
            <w:top w:val="none" w:sz="0" w:space="0" w:color="auto"/>
            <w:left w:val="none" w:sz="0" w:space="0" w:color="auto"/>
            <w:bottom w:val="none" w:sz="0" w:space="0" w:color="auto"/>
            <w:right w:val="none" w:sz="0" w:space="0" w:color="auto"/>
          </w:divBdr>
        </w:div>
        <w:div w:id="561016133">
          <w:marLeft w:val="0"/>
          <w:marRight w:val="0"/>
          <w:marTop w:val="0"/>
          <w:marBottom w:val="0"/>
          <w:divBdr>
            <w:top w:val="none" w:sz="0" w:space="0" w:color="auto"/>
            <w:left w:val="none" w:sz="0" w:space="0" w:color="auto"/>
            <w:bottom w:val="none" w:sz="0" w:space="0" w:color="auto"/>
            <w:right w:val="none" w:sz="0" w:space="0" w:color="auto"/>
          </w:divBdr>
        </w:div>
      </w:divsChild>
    </w:div>
    <w:div w:id="603733030">
      <w:bodyDiv w:val="1"/>
      <w:marLeft w:val="0"/>
      <w:marRight w:val="0"/>
      <w:marTop w:val="0"/>
      <w:marBottom w:val="0"/>
      <w:divBdr>
        <w:top w:val="none" w:sz="0" w:space="0" w:color="auto"/>
        <w:left w:val="none" w:sz="0" w:space="0" w:color="auto"/>
        <w:bottom w:val="none" w:sz="0" w:space="0" w:color="auto"/>
        <w:right w:val="none" w:sz="0" w:space="0" w:color="auto"/>
      </w:divBdr>
      <w:divsChild>
        <w:div w:id="1694064471">
          <w:marLeft w:val="0"/>
          <w:marRight w:val="0"/>
          <w:marTop w:val="0"/>
          <w:marBottom w:val="0"/>
          <w:divBdr>
            <w:top w:val="none" w:sz="0" w:space="0" w:color="DDDDDD"/>
            <w:left w:val="none" w:sz="0" w:space="0" w:color="DDDDDD"/>
            <w:bottom w:val="none" w:sz="0" w:space="0" w:color="auto"/>
            <w:right w:val="none" w:sz="0" w:space="0" w:color="DDDDDD"/>
          </w:divBdr>
        </w:div>
        <w:div w:id="907229549">
          <w:marLeft w:val="0"/>
          <w:marRight w:val="0"/>
          <w:marTop w:val="0"/>
          <w:marBottom w:val="0"/>
          <w:divBdr>
            <w:top w:val="none" w:sz="0" w:space="0" w:color="auto"/>
            <w:left w:val="none" w:sz="0" w:space="0" w:color="auto"/>
            <w:bottom w:val="none" w:sz="0" w:space="0" w:color="auto"/>
            <w:right w:val="none" w:sz="0" w:space="0" w:color="auto"/>
          </w:divBdr>
          <w:divsChild>
            <w:div w:id="8639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6500">
      <w:bodyDiv w:val="1"/>
      <w:marLeft w:val="0"/>
      <w:marRight w:val="0"/>
      <w:marTop w:val="0"/>
      <w:marBottom w:val="0"/>
      <w:divBdr>
        <w:top w:val="none" w:sz="0" w:space="0" w:color="auto"/>
        <w:left w:val="none" w:sz="0" w:space="0" w:color="auto"/>
        <w:bottom w:val="none" w:sz="0" w:space="0" w:color="auto"/>
        <w:right w:val="none" w:sz="0" w:space="0" w:color="auto"/>
      </w:divBdr>
      <w:divsChild>
        <w:div w:id="1208103307">
          <w:marLeft w:val="0"/>
          <w:marRight w:val="0"/>
          <w:marTop w:val="0"/>
          <w:marBottom w:val="0"/>
          <w:divBdr>
            <w:top w:val="none" w:sz="0" w:space="0" w:color="DDDDDD"/>
            <w:left w:val="none" w:sz="0" w:space="0" w:color="DDDDDD"/>
            <w:bottom w:val="none" w:sz="0" w:space="0" w:color="auto"/>
            <w:right w:val="none" w:sz="0" w:space="0" w:color="DDDDDD"/>
          </w:divBdr>
        </w:div>
        <w:div w:id="1905212838">
          <w:marLeft w:val="0"/>
          <w:marRight w:val="0"/>
          <w:marTop w:val="0"/>
          <w:marBottom w:val="0"/>
          <w:divBdr>
            <w:top w:val="none" w:sz="0" w:space="0" w:color="auto"/>
            <w:left w:val="none" w:sz="0" w:space="0" w:color="auto"/>
            <w:bottom w:val="none" w:sz="0" w:space="0" w:color="auto"/>
            <w:right w:val="none" w:sz="0" w:space="0" w:color="auto"/>
          </w:divBdr>
          <w:divsChild>
            <w:div w:id="789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90631">
      <w:bodyDiv w:val="1"/>
      <w:marLeft w:val="0"/>
      <w:marRight w:val="0"/>
      <w:marTop w:val="0"/>
      <w:marBottom w:val="0"/>
      <w:divBdr>
        <w:top w:val="none" w:sz="0" w:space="0" w:color="auto"/>
        <w:left w:val="none" w:sz="0" w:space="0" w:color="auto"/>
        <w:bottom w:val="none" w:sz="0" w:space="0" w:color="auto"/>
        <w:right w:val="none" w:sz="0" w:space="0" w:color="auto"/>
      </w:divBdr>
      <w:divsChild>
        <w:div w:id="2116442777">
          <w:marLeft w:val="0"/>
          <w:marRight w:val="0"/>
          <w:marTop w:val="613"/>
          <w:marBottom w:val="460"/>
          <w:divBdr>
            <w:top w:val="none" w:sz="0" w:space="0" w:color="auto"/>
            <w:left w:val="none" w:sz="0" w:space="0" w:color="auto"/>
            <w:bottom w:val="none" w:sz="0" w:space="0" w:color="auto"/>
            <w:right w:val="none" w:sz="0" w:space="0" w:color="auto"/>
          </w:divBdr>
        </w:div>
        <w:div w:id="1190291254">
          <w:marLeft w:val="0"/>
          <w:marRight w:val="0"/>
          <w:marTop w:val="0"/>
          <w:marBottom w:val="0"/>
          <w:divBdr>
            <w:top w:val="none" w:sz="0" w:space="0" w:color="auto"/>
            <w:left w:val="none" w:sz="0" w:space="0" w:color="auto"/>
            <w:bottom w:val="none" w:sz="0" w:space="0" w:color="auto"/>
            <w:right w:val="none" w:sz="0" w:space="0" w:color="auto"/>
          </w:divBdr>
          <w:divsChild>
            <w:div w:id="11731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1772">
      <w:bodyDiv w:val="1"/>
      <w:marLeft w:val="0"/>
      <w:marRight w:val="0"/>
      <w:marTop w:val="0"/>
      <w:marBottom w:val="0"/>
      <w:divBdr>
        <w:top w:val="none" w:sz="0" w:space="0" w:color="auto"/>
        <w:left w:val="none" w:sz="0" w:space="0" w:color="auto"/>
        <w:bottom w:val="none" w:sz="0" w:space="0" w:color="auto"/>
        <w:right w:val="none" w:sz="0" w:space="0" w:color="auto"/>
      </w:divBdr>
      <w:divsChild>
        <w:div w:id="950625803">
          <w:marLeft w:val="0"/>
          <w:marRight w:val="0"/>
          <w:marTop w:val="613"/>
          <w:marBottom w:val="460"/>
          <w:divBdr>
            <w:top w:val="none" w:sz="0" w:space="0" w:color="auto"/>
            <w:left w:val="none" w:sz="0" w:space="0" w:color="auto"/>
            <w:bottom w:val="none" w:sz="0" w:space="0" w:color="auto"/>
            <w:right w:val="none" w:sz="0" w:space="0" w:color="auto"/>
          </w:divBdr>
        </w:div>
        <w:div w:id="445928586">
          <w:marLeft w:val="0"/>
          <w:marRight w:val="0"/>
          <w:marTop w:val="0"/>
          <w:marBottom w:val="0"/>
          <w:divBdr>
            <w:top w:val="none" w:sz="0" w:space="0" w:color="auto"/>
            <w:left w:val="none" w:sz="0" w:space="0" w:color="auto"/>
            <w:bottom w:val="none" w:sz="0" w:space="0" w:color="auto"/>
            <w:right w:val="none" w:sz="0" w:space="0" w:color="auto"/>
          </w:divBdr>
          <w:divsChild>
            <w:div w:id="1616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368">
      <w:bodyDiv w:val="1"/>
      <w:marLeft w:val="0"/>
      <w:marRight w:val="0"/>
      <w:marTop w:val="0"/>
      <w:marBottom w:val="0"/>
      <w:divBdr>
        <w:top w:val="none" w:sz="0" w:space="0" w:color="auto"/>
        <w:left w:val="none" w:sz="0" w:space="0" w:color="auto"/>
        <w:bottom w:val="none" w:sz="0" w:space="0" w:color="auto"/>
        <w:right w:val="none" w:sz="0" w:space="0" w:color="auto"/>
      </w:divBdr>
      <w:divsChild>
        <w:div w:id="1798908046">
          <w:marLeft w:val="0"/>
          <w:marRight w:val="0"/>
          <w:marTop w:val="0"/>
          <w:marBottom w:val="0"/>
          <w:divBdr>
            <w:top w:val="none" w:sz="0" w:space="0" w:color="DDDDDD"/>
            <w:left w:val="none" w:sz="0" w:space="0" w:color="DDDDDD"/>
            <w:bottom w:val="none" w:sz="0" w:space="0" w:color="auto"/>
            <w:right w:val="none" w:sz="0" w:space="0" w:color="DDDDDD"/>
          </w:divBdr>
        </w:div>
        <w:div w:id="175316133">
          <w:marLeft w:val="0"/>
          <w:marRight w:val="0"/>
          <w:marTop w:val="0"/>
          <w:marBottom w:val="0"/>
          <w:divBdr>
            <w:top w:val="none" w:sz="0" w:space="0" w:color="auto"/>
            <w:left w:val="none" w:sz="0" w:space="0" w:color="auto"/>
            <w:bottom w:val="none" w:sz="0" w:space="0" w:color="auto"/>
            <w:right w:val="none" w:sz="0" w:space="0" w:color="auto"/>
          </w:divBdr>
          <w:divsChild>
            <w:div w:id="10473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sk.gov.tr/" TargetMode="External"/><Relationship Id="rId13" Type="http://schemas.openxmlformats.org/officeDocument/2006/relationships/hyperlink" Target="https://www.ytb.gov.tr/soru-cevap/gumruk" TargetMode="External"/><Relationship Id="rId18" Type="http://schemas.openxmlformats.org/officeDocument/2006/relationships/hyperlink" Target="https://www.ytb.gov.tr/soru-cevap/vergi-ve-tapu" TargetMode="External"/><Relationship Id="rId26" Type="http://schemas.openxmlformats.org/officeDocument/2006/relationships/hyperlink" Target="https://www.ytb.gov.tr/soru-cevap/uluslararasi-ilahiyat-programi" TargetMode="External"/><Relationship Id="rId3" Type="http://schemas.openxmlformats.org/officeDocument/2006/relationships/settings" Target="settings.xml"/><Relationship Id="rId21" Type="http://schemas.openxmlformats.org/officeDocument/2006/relationships/hyperlink" Target="https://www.ytb.gov.tr/soru-cevap/cimer" TargetMode="External"/><Relationship Id="rId7" Type="http://schemas.openxmlformats.org/officeDocument/2006/relationships/hyperlink" Target="https://www.ytb.gov.tr/soru-cevap/mavi-kart" TargetMode="External"/><Relationship Id="rId12" Type="http://schemas.openxmlformats.org/officeDocument/2006/relationships/hyperlink" Target="https://www.ytb.gov.tr/soru-cevap/pasaport" TargetMode="External"/><Relationship Id="rId17" Type="http://schemas.openxmlformats.org/officeDocument/2006/relationships/hyperlink" Target="https://www.ytb.gov.tr/soru-cevap/askerlik" TargetMode="External"/><Relationship Id="rId25" Type="http://schemas.openxmlformats.org/officeDocument/2006/relationships/hyperlink" Target="https://www.ytb.gov.tr/soru-cevap/universite-egitimi" TargetMode="External"/><Relationship Id="rId2" Type="http://schemas.openxmlformats.org/officeDocument/2006/relationships/styles" Target="styles.xml"/><Relationship Id="rId16" Type="http://schemas.openxmlformats.org/officeDocument/2006/relationships/hyperlink" Target="https://www.ytb.gov.tr/soru-cevap/egitim-ve-genclik" TargetMode="External"/><Relationship Id="rId20" Type="http://schemas.openxmlformats.org/officeDocument/2006/relationships/hyperlink" Target="https://www.ytb.gov.tr/soru-cevap/mavi-kart" TargetMode="External"/><Relationship Id="rId29" Type="http://schemas.openxmlformats.org/officeDocument/2006/relationships/hyperlink" Target="https://www.ytb.gov.tr/soru-cevap/ptt-araciligiyla-para-havalesi" TargetMode="External"/><Relationship Id="rId1" Type="http://schemas.openxmlformats.org/officeDocument/2006/relationships/numbering" Target="numbering.xml"/><Relationship Id="rId6" Type="http://schemas.openxmlformats.org/officeDocument/2006/relationships/hyperlink" Target="https://www.ytb.gov.tr/soru-cevap/mavi-kart" TargetMode="External"/><Relationship Id="rId11" Type="http://schemas.openxmlformats.org/officeDocument/2006/relationships/hyperlink" Target="http://secim.ytb.gov.tr/" TargetMode="External"/><Relationship Id="rId24" Type="http://schemas.openxmlformats.org/officeDocument/2006/relationships/hyperlink" Target="https://www.ytb.gov.tr/soru-cevap/sosyal-hizmetler" TargetMode="External"/><Relationship Id="rId5" Type="http://schemas.openxmlformats.org/officeDocument/2006/relationships/hyperlink" Target="https://www.ytb.gov.tr/soru-cevap/mavi-kart" TargetMode="External"/><Relationship Id="rId15" Type="http://schemas.openxmlformats.org/officeDocument/2006/relationships/hyperlink" Target="https://www.ytb.gov.tr/soru-cevap/saglik-ve-sosyal-guvenlik" TargetMode="External"/><Relationship Id="rId23" Type="http://schemas.openxmlformats.org/officeDocument/2006/relationships/hyperlink" Target="https://www.ytb.gov.tr/soru-cevap/turkiye-secimlerinde-oy-kullanma" TargetMode="External"/><Relationship Id="rId28" Type="http://schemas.openxmlformats.org/officeDocument/2006/relationships/hyperlink" Target="https://www.ytb.gov.tr/soru-cevap/adalet" TargetMode="External"/><Relationship Id="rId10" Type="http://schemas.openxmlformats.org/officeDocument/2006/relationships/hyperlink" Target="http://www.mfa.gov.tr/" TargetMode="External"/><Relationship Id="rId19" Type="http://schemas.openxmlformats.org/officeDocument/2006/relationships/hyperlink" Target="https://www.ytb.gov.tr/soru-cevap/nuf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sk.gov.tr/" TargetMode="External"/><Relationship Id="rId14" Type="http://schemas.openxmlformats.org/officeDocument/2006/relationships/hyperlink" Target="https://www.ytb.gov.tr/soru-cevap/trafik" TargetMode="External"/><Relationship Id="rId22" Type="http://schemas.openxmlformats.org/officeDocument/2006/relationships/hyperlink" Target="https://www.ytb.gov.tr/soru-cevap/e-devlet" TargetMode="External"/><Relationship Id="rId27" Type="http://schemas.openxmlformats.org/officeDocument/2006/relationships/hyperlink" Target="https://www.ytb.gov.tr/soru-cevap/genclik"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2857</Words>
  <Characters>16286</Characters>
  <Application>Microsoft Office Word</Application>
  <DocSecurity>0</DocSecurity>
  <Lines>135</Lines>
  <Paragraphs>38</Paragraphs>
  <ScaleCrop>false</ScaleCrop>
  <Company/>
  <LinksUpToDate>false</LinksUpToDate>
  <CharactersWithSpaces>19105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2019-12-11T09:31:00Z</dcterms:created>
  <dcterms:modified xsi:type="dcterms:W3CDTF">2019-12-11T09:48:00Z</dcterms:modified>
</cp:coreProperties>
</file>